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AD34" w14:textId="77777777" w:rsidR="0048219F" w:rsidRPr="008B5F29" w:rsidRDefault="0048219F" w:rsidP="008B5F29">
      <w:pPr>
        <w:spacing w:line="360" w:lineRule="auto"/>
      </w:pPr>
      <w:bookmarkStart w:id="0" w:name="_GoBack"/>
      <w:bookmarkEnd w:id="0"/>
    </w:p>
    <w:p w14:paraId="2D48A4B2" w14:textId="77777777" w:rsidR="00517205" w:rsidRDefault="00F545F3" w:rsidP="008B5F29">
      <w:pPr>
        <w:spacing w:line="360" w:lineRule="auto"/>
        <w:jc w:val="center"/>
        <w:rPr>
          <w:b/>
        </w:rPr>
      </w:pPr>
      <w:r>
        <w:rPr>
          <w:b/>
        </w:rPr>
        <w:t>Financiamiento del desarrollo r</w:t>
      </w:r>
      <w:r w:rsidR="00517205" w:rsidRPr="008B5F29">
        <w:rPr>
          <w:b/>
        </w:rPr>
        <w:t>egional</w:t>
      </w:r>
      <w:r w:rsidR="00DC3065" w:rsidRPr="008B5F29">
        <w:rPr>
          <w:b/>
        </w:rPr>
        <w:t xml:space="preserve"> de Cajamarca</w:t>
      </w:r>
      <w:r w:rsidR="00D46349">
        <w:rPr>
          <w:b/>
        </w:rPr>
        <w:t>: E</w:t>
      </w:r>
      <w:r w:rsidR="002D57E4">
        <w:rPr>
          <w:b/>
        </w:rPr>
        <w:t>l desafío de la disminución</w:t>
      </w:r>
      <w:r w:rsidR="009F2180" w:rsidRPr="008B5F29">
        <w:rPr>
          <w:b/>
        </w:rPr>
        <w:t xml:space="preserve"> </w:t>
      </w:r>
      <w:r w:rsidR="002D57E4">
        <w:rPr>
          <w:b/>
        </w:rPr>
        <w:t>de la pobreza y brechas sociales</w:t>
      </w:r>
      <w:r w:rsidR="00981418">
        <w:rPr>
          <w:b/>
        </w:rPr>
        <w:t xml:space="preserve"> </w:t>
      </w:r>
    </w:p>
    <w:p w14:paraId="56E2FD5B" w14:textId="77777777" w:rsidR="00786F75" w:rsidRDefault="00786F75" w:rsidP="00293DFC">
      <w:pPr>
        <w:spacing w:line="360" w:lineRule="auto"/>
        <w:jc w:val="right"/>
        <w:rPr>
          <w:b/>
        </w:rPr>
      </w:pPr>
      <w:r>
        <w:rPr>
          <w:b/>
        </w:rPr>
        <w:t xml:space="preserve">Autor: </w:t>
      </w:r>
      <w:r w:rsidR="00293DFC">
        <w:rPr>
          <w:b/>
        </w:rPr>
        <w:t xml:space="preserve"> MBA. </w:t>
      </w:r>
      <w:r>
        <w:rPr>
          <w:b/>
        </w:rPr>
        <w:t>Edgar César Casas Casas</w:t>
      </w:r>
    </w:p>
    <w:p w14:paraId="5D1E6AD7" w14:textId="77777777" w:rsidR="00786F75" w:rsidRPr="008B5F29" w:rsidRDefault="00786F75" w:rsidP="00293DFC">
      <w:pPr>
        <w:spacing w:line="360" w:lineRule="auto"/>
        <w:jc w:val="right"/>
        <w:rPr>
          <w:b/>
        </w:rPr>
      </w:pPr>
      <w:r>
        <w:rPr>
          <w:b/>
        </w:rPr>
        <w:t>cesar_casas10@yahoo.es</w:t>
      </w:r>
    </w:p>
    <w:p w14:paraId="72F5B1B0" w14:textId="77777777" w:rsidR="003A64C2" w:rsidRDefault="008D08AB" w:rsidP="00BE775B">
      <w:pPr>
        <w:spacing w:line="360" w:lineRule="auto"/>
        <w:jc w:val="center"/>
        <w:rPr>
          <w:b/>
        </w:rPr>
      </w:pPr>
      <w:r>
        <w:rPr>
          <w:b/>
        </w:rPr>
        <w:t>RESUMEN</w:t>
      </w:r>
    </w:p>
    <w:p w14:paraId="56AEA93E" w14:textId="77777777" w:rsidR="00AC0B88" w:rsidRPr="004A3AE3" w:rsidRDefault="00340AFF" w:rsidP="008B5F29">
      <w:pPr>
        <w:spacing w:line="360" w:lineRule="auto"/>
        <w:jc w:val="both"/>
      </w:pPr>
      <w:r w:rsidRPr="00340AFF">
        <w:rPr>
          <w:rFonts w:cs="TimesNewRomanPSMT"/>
        </w:rPr>
        <w:t>El desarrollo</w:t>
      </w:r>
      <w:r w:rsidR="008E21CF">
        <w:rPr>
          <w:rFonts w:cs="TimesNewRomanPSMT"/>
        </w:rPr>
        <w:t xml:space="preserve"> de Cajamarca muestra muchos </w:t>
      </w:r>
      <w:r w:rsidRPr="00340AFF">
        <w:rPr>
          <w:rFonts w:cs="TimesNewRomanPSMT"/>
        </w:rPr>
        <w:t>rezagos y</w:t>
      </w:r>
      <w:r>
        <w:rPr>
          <w:rFonts w:cs="TimesNewRomanPSMT"/>
        </w:rPr>
        <w:t xml:space="preserve"> </w:t>
      </w:r>
      <w:r w:rsidRPr="00340AFF">
        <w:rPr>
          <w:rFonts w:cs="TimesNewRomanPSMT"/>
        </w:rPr>
        <w:t>retrocesos</w:t>
      </w:r>
      <w:r w:rsidR="00ED49EF">
        <w:rPr>
          <w:rFonts w:cs="TimesNewRomanPSMT"/>
        </w:rPr>
        <w:t>;</w:t>
      </w:r>
      <w:r w:rsidR="008E21CF">
        <w:rPr>
          <w:rFonts w:cs="TimesNewRomanPSMT"/>
        </w:rPr>
        <w:t xml:space="preserve"> en las últimas</w:t>
      </w:r>
      <w:r w:rsidR="007E21BD">
        <w:rPr>
          <w:rFonts w:cs="TimesNewRomanPSMT"/>
        </w:rPr>
        <w:t xml:space="preserve"> dos</w:t>
      </w:r>
      <w:r w:rsidR="008E21CF">
        <w:rPr>
          <w:rFonts w:cs="TimesNewRomanPSMT"/>
        </w:rPr>
        <w:t xml:space="preserve"> décadas hubo un crecimiento  sostenido de la economía del país</w:t>
      </w:r>
      <w:r w:rsidR="00ED15E6">
        <w:rPr>
          <w:rFonts w:cs="TimesNewRomanPSMT"/>
        </w:rPr>
        <w:t xml:space="preserve"> y</w:t>
      </w:r>
      <w:r w:rsidR="00F54224">
        <w:rPr>
          <w:rFonts w:cs="TimesNewRomanPSMT"/>
        </w:rPr>
        <w:t xml:space="preserve"> el gobierno regional</w:t>
      </w:r>
      <w:r w:rsidR="008E21CF">
        <w:rPr>
          <w:rFonts w:cs="TimesNewRomanPSMT"/>
        </w:rPr>
        <w:t xml:space="preserve"> </w:t>
      </w:r>
      <w:r w:rsidR="00F545F3">
        <w:rPr>
          <w:rFonts w:cs="TimesNewRomanPSMT"/>
        </w:rPr>
        <w:t>contó</w:t>
      </w:r>
      <w:r w:rsidR="007705CB">
        <w:rPr>
          <w:rFonts w:cs="TimesNewRomanPSMT"/>
        </w:rPr>
        <w:t xml:space="preserve"> con mayores recursos presupuestales</w:t>
      </w:r>
      <w:r w:rsidR="008E21CF">
        <w:rPr>
          <w:rFonts w:cs="TimesNewRomanPSMT"/>
        </w:rPr>
        <w:t xml:space="preserve"> </w:t>
      </w:r>
      <w:r w:rsidR="00F545F3">
        <w:rPr>
          <w:rFonts w:cs="TimesNewRomanPSMT"/>
        </w:rPr>
        <w:t xml:space="preserve"> por efectos del cano</w:t>
      </w:r>
      <w:r w:rsidR="00ED15E6">
        <w:rPr>
          <w:rFonts w:cs="TimesNewRomanPSMT"/>
        </w:rPr>
        <w:t>n minero, sin embargo</w:t>
      </w:r>
      <w:r w:rsidR="003D061C">
        <w:rPr>
          <w:rFonts w:cs="TimesNewRomanPSMT"/>
        </w:rPr>
        <w:t xml:space="preserve">, la </w:t>
      </w:r>
      <w:r w:rsidR="00ED15E6">
        <w:rPr>
          <w:rFonts w:cs="TimesNewRomanPSMT"/>
        </w:rPr>
        <w:t>pobreza</w:t>
      </w:r>
      <w:r w:rsidR="00730037">
        <w:rPr>
          <w:rFonts w:cs="TimesNewRomanPSMT"/>
        </w:rPr>
        <w:t xml:space="preserve"> </w:t>
      </w:r>
      <w:r w:rsidR="003D061C">
        <w:rPr>
          <w:rFonts w:cs="TimesNewRomanPSMT"/>
        </w:rPr>
        <w:t>y las brechas</w:t>
      </w:r>
      <w:r w:rsidR="00ED15E6">
        <w:rPr>
          <w:rFonts w:cs="TimesNewRomanPSMT"/>
        </w:rPr>
        <w:t xml:space="preserve"> sociales</w:t>
      </w:r>
      <w:r w:rsidR="003D061C">
        <w:rPr>
          <w:rFonts w:cs="TimesNewRomanPSMT"/>
        </w:rPr>
        <w:t xml:space="preserve"> persisten,</w:t>
      </w:r>
      <w:r w:rsidR="007705CB">
        <w:rPr>
          <w:rFonts w:cs="TimesNewRomanPSMT"/>
        </w:rPr>
        <w:t xml:space="preserve">  por</w:t>
      </w:r>
      <w:r w:rsidRPr="00340AFF">
        <w:rPr>
          <w:rFonts w:cs="TimesNewRomanPSMT"/>
        </w:rPr>
        <w:t xml:space="preserve"> lo que es pertinente cuestionarse cuáles </w:t>
      </w:r>
      <w:r w:rsidR="00730037">
        <w:rPr>
          <w:rFonts w:cs="TimesNewRomanPSMT"/>
        </w:rPr>
        <w:t>son los factores que limitan el desarrollo de Cajama</w:t>
      </w:r>
      <w:r w:rsidR="00DD5486">
        <w:rPr>
          <w:rFonts w:cs="TimesNewRomanPSMT"/>
        </w:rPr>
        <w:t xml:space="preserve">rca; </w:t>
      </w:r>
      <w:r w:rsidR="00730037">
        <w:rPr>
          <w:rFonts w:cs="TimesNewRomanPSMT"/>
        </w:rPr>
        <w:t xml:space="preserve">uno de </w:t>
      </w:r>
      <w:r w:rsidR="00730037" w:rsidRPr="00F545F3">
        <w:rPr>
          <w:rFonts w:cs="TimesNewRomanPSMT"/>
        </w:rPr>
        <w:t>esto</w:t>
      </w:r>
      <w:r w:rsidR="00F545F3" w:rsidRPr="00F545F3">
        <w:rPr>
          <w:rFonts w:cs="TimesNewRomanPSMT"/>
        </w:rPr>
        <w:t>s</w:t>
      </w:r>
      <w:r w:rsidR="007E21BD">
        <w:rPr>
          <w:rFonts w:cs="TimesNewRomanPSMT"/>
        </w:rPr>
        <w:t xml:space="preserve"> factores que</w:t>
      </w:r>
      <w:r w:rsidR="00ED49EF">
        <w:rPr>
          <w:rFonts w:cs="TimesNewRomanPSMT"/>
        </w:rPr>
        <w:t xml:space="preserve"> se explora </w:t>
      </w:r>
      <w:r w:rsidR="00730037">
        <w:rPr>
          <w:rFonts w:cs="TimesNewRomanPSMT"/>
        </w:rPr>
        <w:t xml:space="preserve">en el presente trabajo está referido </w:t>
      </w:r>
      <w:r w:rsidR="00ED49EF">
        <w:rPr>
          <w:rFonts w:cs="TimesNewRomanPSMT"/>
        </w:rPr>
        <w:t xml:space="preserve"> al aspecto financiero y Presupuestario.  En este marco se analiza </w:t>
      </w:r>
      <w:r w:rsidR="00730037">
        <w:rPr>
          <w:rFonts w:cs="TimesNewRomanPSMT"/>
        </w:rPr>
        <w:t xml:space="preserve">si los recursos financieros y presupuestales </w:t>
      </w:r>
      <w:r w:rsidR="00ED49EF">
        <w:rPr>
          <w:rFonts w:cs="TimesNewRomanPSMT"/>
        </w:rPr>
        <w:t xml:space="preserve"> con que cuenta  el gobierno r</w:t>
      </w:r>
      <w:r w:rsidR="00730037">
        <w:rPr>
          <w:rFonts w:cs="TimesNewRomanPSMT"/>
        </w:rPr>
        <w:t>egional</w:t>
      </w:r>
      <w:r w:rsidR="007E21BD">
        <w:rPr>
          <w:rFonts w:cs="TimesNewRomanPSMT"/>
        </w:rPr>
        <w:t xml:space="preserve"> de Cajamarca</w:t>
      </w:r>
      <w:r w:rsidR="00730037">
        <w:rPr>
          <w:rFonts w:cs="TimesNewRomanPSMT"/>
        </w:rPr>
        <w:t xml:space="preserve">, </w:t>
      </w:r>
      <w:r w:rsidR="003D061C">
        <w:rPr>
          <w:rFonts w:cs="TimesNewRomanPSMT"/>
        </w:rPr>
        <w:t>son suficientes</w:t>
      </w:r>
      <w:r w:rsidR="004A3AE3">
        <w:rPr>
          <w:rFonts w:cs="TimesNewRomanPSMT"/>
        </w:rPr>
        <w:t>, si hay una distribución equitativa en la distribución de recursos  po</w:t>
      </w:r>
      <w:r w:rsidR="00ED49EF">
        <w:rPr>
          <w:rFonts w:cs="TimesNewRomanPSMT"/>
        </w:rPr>
        <w:t>r parte del gobierno nacional y</w:t>
      </w:r>
      <w:r w:rsidR="004A3AE3">
        <w:rPr>
          <w:rFonts w:cs="TimesNewRomanPSMT"/>
        </w:rPr>
        <w:t xml:space="preserve"> si</w:t>
      </w:r>
      <w:r w:rsidR="00DD5486">
        <w:rPr>
          <w:rFonts w:cs="TimesNewRomanPSMT"/>
        </w:rPr>
        <w:t>, se están haciendo</w:t>
      </w:r>
      <w:r w:rsidR="00ED49EF">
        <w:rPr>
          <w:rFonts w:cs="TimesNewRomanPSMT"/>
        </w:rPr>
        <w:t xml:space="preserve"> un </w:t>
      </w:r>
      <w:r w:rsidR="004A3AE3">
        <w:rPr>
          <w:rFonts w:cs="TimesNewRomanPSMT"/>
        </w:rPr>
        <w:t>uso</w:t>
      </w:r>
      <w:r w:rsidR="00ED49EF">
        <w:rPr>
          <w:rFonts w:cs="TimesNewRomanPSMT"/>
        </w:rPr>
        <w:t xml:space="preserve"> adecuado</w:t>
      </w:r>
      <w:r w:rsidR="004A3AE3">
        <w:rPr>
          <w:rFonts w:cs="TimesNewRomanPSMT"/>
        </w:rPr>
        <w:t xml:space="preserve"> de</w:t>
      </w:r>
      <w:r w:rsidR="00ED49EF">
        <w:rPr>
          <w:rFonts w:cs="TimesNewRomanPSMT"/>
        </w:rPr>
        <w:t xml:space="preserve"> los</w:t>
      </w:r>
      <w:r w:rsidR="004A3AE3">
        <w:rPr>
          <w:rFonts w:cs="TimesNewRomanPSMT"/>
        </w:rPr>
        <w:t xml:space="preserve"> algunos instrumentos  de financiamie</w:t>
      </w:r>
      <w:r w:rsidR="00ED49EF">
        <w:rPr>
          <w:rFonts w:cs="TimesNewRomanPSMT"/>
        </w:rPr>
        <w:t>nto</w:t>
      </w:r>
      <w:r w:rsidR="004A3AE3">
        <w:rPr>
          <w:rFonts w:cs="TimesNewRomanPSMT"/>
        </w:rPr>
        <w:t xml:space="preserve"> como  obras por impuestos, asociaciones público privadas, fideicomisos y endeudamiento para acelerar el cierre de las brechas sociales </w:t>
      </w:r>
      <w:r w:rsidR="008E21CF">
        <w:rPr>
          <w:rFonts w:cs="TimesNewRomanPSMT"/>
        </w:rPr>
        <w:t>con la finalidad de</w:t>
      </w:r>
      <w:r w:rsidR="00ED49EF">
        <w:rPr>
          <w:rFonts w:cs="TimesNewRomanPSMT"/>
        </w:rPr>
        <w:t xml:space="preserve"> tener </w:t>
      </w:r>
      <w:r w:rsidR="008E21CF">
        <w:rPr>
          <w:rFonts w:cs="TimesNewRomanPSMT"/>
        </w:rPr>
        <w:t xml:space="preserve">una idea </w:t>
      </w:r>
      <w:r w:rsidRPr="00340AFF">
        <w:rPr>
          <w:rFonts w:cs="TimesNewRomanPSMT"/>
        </w:rPr>
        <w:t>clara de l</w:t>
      </w:r>
      <w:r w:rsidR="008E21CF">
        <w:rPr>
          <w:rFonts w:cs="TimesNewRomanPSMT"/>
        </w:rPr>
        <w:t>a influencia del  financiamiento y el presupuesto en el desarrollo de la Región Cajamarca.</w:t>
      </w:r>
    </w:p>
    <w:p w14:paraId="059F968E" w14:textId="77777777" w:rsidR="003A64C2" w:rsidRDefault="00F62928" w:rsidP="008B5F29">
      <w:pPr>
        <w:spacing w:line="360" w:lineRule="auto"/>
        <w:jc w:val="both"/>
        <w:rPr>
          <w:b/>
        </w:rPr>
      </w:pPr>
      <w:r>
        <w:rPr>
          <w:b/>
        </w:rPr>
        <w:t xml:space="preserve">Palabras Clave: </w:t>
      </w:r>
      <w:r w:rsidR="006366E5">
        <w:t>P</w:t>
      </w:r>
      <w:r>
        <w:t>resupuesto, financiamiento, pobreza, brechas sociales, inequidad</w:t>
      </w:r>
      <w:r w:rsidR="007C6FDF">
        <w:t xml:space="preserve">, descentralización fiscal. </w:t>
      </w:r>
    </w:p>
    <w:p w14:paraId="565F6FB2" w14:textId="77777777" w:rsidR="00BE775B" w:rsidRPr="00195523" w:rsidRDefault="00BE775B" w:rsidP="00BE775B">
      <w:pPr>
        <w:spacing w:line="360" w:lineRule="auto"/>
        <w:jc w:val="center"/>
        <w:rPr>
          <w:b/>
        </w:rPr>
      </w:pPr>
      <w:r w:rsidRPr="00195523">
        <w:rPr>
          <w:b/>
        </w:rPr>
        <w:t>ABSTRACT</w:t>
      </w:r>
    </w:p>
    <w:p w14:paraId="264CDCA7" w14:textId="77777777" w:rsidR="00BE775B" w:rsidRPr="00195523" w:rsidRDefault="00BE775B" w:rsidP="00BE775B">
      <w:pPr>
        <w:spacing w:line="360" w:lineRule="auto"/>
        <w:jc w:val="both"/>
        <w:rPr>
          <w:lang w:val="en-US"/>
        </w:rPr>
      </w:pPr>
      <w:r w:rsidRPr="00195523">
        <w:rPr>
          <w:lang w:val="en-US"/>
        </w:rPr>
        <w:t xml:space="preserve">The development of Cajamarca shows a lot of lags and setbacks; In the last two decades there was a sustained growth of the country's economy and the regional government counted on greater budgetary resources due to mining canon, however, poverty and social gaps persist, so it is pertinent to question what are the factors that limit the development of Cajamarca; One of these factors that is explored in the present work is related to the financial and Budgetary aspect. In this context, it is analyzed whether the financial and budgetary resources available to the Cajamarca regional government are sufficient, if there is an equitable distribution of resources by the national government, and if some instruments of financing are being used appropriately   such as tax works, public private partnerships, trusts and indebtedness to accelerate the closing of social gaps in order to </w:t>
      </w:r>
      <w:r w:rsidRPr="00195523">
        <w:rPr>
          <w:lang w:val="en-US"/>
        </w:rPr>
        <w:lastRenderedPageBreak/>
        <w:t>have a clear idea of ​​the influence of financing and budget on the development of the Cajamarca Region.</w:t>
      </w:r>
    </w:p>
    <w:p w14:paraId="6DB9B61A" w14:textId="77777777" w:rsidR="00786F75" w:rsidRDefault="00BE775B" w:rsidP="00BE775B">
      <w:pPr>
        <w:spacing w:line="360" w:lineRule="auto"/>
        <w:jc w:val="both"/>
        <w:rPr>
          <w:b/>
          <w:lang w:val="en-US"/>
        </w:rPr>
      </w:pPr>
      <w:r w:rsidRPr="00195523">
        <w:rPr>
          <w:b/>
          <w:lang w:val="en-US"/>
        </w:rPr>
        <w:t xml:space="preserve">Keywords: </w:t>
      </w:r>
      <w:r w:rsidRPr="00DD146A">
        <w:rPr>
          <w:lang w:val="en-US"/>
        </w:rPr>
        <w:t>Budget, financing, poverty, social gaps, inequality, fiscal decentralization</w:t>
      </w:r>
      <w:r w:rsidRPr="00195523">
        <w:rPr>
          <w:b/>
          <w:lang w:val="en-US"/>
        </w:rPr>
        <w:t>.</w:t>
      </w:r>
    </w:p>
    <w:p w14:paraId="088BEF92" w14:textId="77777777" w:rsidR="00BE775B" w:rsidRPr="00BE775B" w:rsidRDefault="00BE775B" w:rsidP="00BE775B">
      <w:pPr>
        <w:spacing w:line="360" w:lineRule="auto"/>
        <w:jc w:val="both"/>
        <w:rPr>
          <w:b/>
          <w:lang w:val="en-US"/>
        </w:rPr>
      </w:pPr>
    </w:p>
    <w:p w14:paraId="7B726BB5" w14:textId="77777777" w:rsidR="00EB42D0" w:rsidRPr="008B5F29" w:rsidRDefault="00815C2C" w:rsidP="008B5F29">
      <w:pPr>
        <w:spacing w:line="360" w:lineRule="auto"/>
        <w:jc w:val="both"/>
        <w:rPr>
          <w:b/>
        </w:rPr>
      </w:pPr>
      <w:r>
        <w:rPr>
          <w:b/>
        </w:rPr>
        <w:t>Introducción</w:t>
      </w:r>
    </w:p>
    <w:p w14:paraId="6F9AFD61" w14:textId="77777777" w:rsidR="003B1729" w:rsidRDefault="009F2180" w:rsidP="008B5F29">
      <w:pPr>
        <w:spacing w:line="360" w:lineRule="auto"/>
        <w:jc w:val="both"/>
      </w:pPr>
      <w:r w:rsidRPr="008B5F29">
        <w:t>Cajamarca es una de las regiones</w:t>
      </w:r>
      <w:r w:rsidR="001B6EDE" w:rsidRPr="008B5F29">
        <w:t xml:space="preserve"> con mayores </w:t>
      </w:r>
      <w:r w:rsidR="00320C41" w:rsidRPr="008B5F29">
        <w:t>recursos</w:t>
      </w:r>
      <w:r w:rsidR="00D842D5" w:rsidRPr="008B5F29">
        <w:t xml:space="preserve"> naturales</w:t>
      </w:r>
      <w:r w:rsidRPr="008B5F29">
        <w:t>, pero en contraste</w:t>
      </w:r>
      <w:r w:rsidR="00A908CF">
        <w:t>,</w:t>
      </w:r>
      <w:r w:rsidRPr="008B5F29">
        <w:t xml:space="preserve"> presenta los mayores índices de pobreza </w:t>
      </w:r>
      <w:r w:rsidR="00320C41" w:rsidRPr="008B5F29">
        <w:t xml:space="preserve"> en </w:t>
      </w:r>
      <w:r w:rsidRPr="008B5F29">
        <w:t>el Perú, que se mantiene en forma  persistente en los últimos años</w:t>
      </w:r>
      <w:r w:rsidR="00A908CF">
        <w:t>;</w:t>
      </w:r>
      <w:r w:rsidR="00872855">
        <w:t xml:space="preserve"> según el Instituto Nacional de Estadística (2016), la pobreza general alcanza el </w:t>
      </w:r>
      <w:r w:rsidR="004572C2">
        <w:t xml:space="preserve"> 50.8%</w:t>
      </w:r>
      <w:r w:rsidR="004876A9">
        <w:t>, la pobreza extrema</w:t>
      </w:r>
      <w:r w:rsidR="00E77737">
        <w:t xml:space="preserve"> está en el intervalo de 16.6 % a 23.9% </w:t>
      </w:r>
      <w:r w:rsidR="00872855">
        <w:t>y  práctic</w:t>
      </w:r>
      <w:r w:rsidR="00E77737">
        <w:t xml:space="preserve">amente no se ha  movido  en los últimos años con lo que se demuestra </w:t>
      </w:r>
      <w:r w:rsidR="00C25B05">
        <w:t xml:space="preserve"> </w:t>
      </w:r>
      <w:r w:rsidR="00872855">
        <w:t xml:space="preserve">que  Cajamarca  </w:t>
      </w:r>
      <w:r w:rsidR="00CF21AD">
        <w:t>no solo es la región má</w:t>
      </w:r>
      <w:r w:rsidR="00872855">
        <w:t>s pobre del país sino  que tiene una pobreza persistente.</w:t>
      </w:r>
      <w:r w:rsidR="00320C41" w:rsidRPr="008B5F29">
        <w:t xml:space="preserve"> </w:t>
      </w:r>
    </w:p>
    <w:p w14:paraId="27F7718B" w14:textId="77777777" w:rsidR="003B1729" w:rsidRDefault="007D04B2" w:rsidP="003B1729">
      <w:pPr>
        <w:autoSpaceDE w:val="0"/>
        <w:autoSpaceDN w:val="0"/>
        <w:adjustRightInd w:val="0"/>
        <w:spacing w:after="0" w:line="360" w:lineRule="auto"/>
        <w:jc w:val="both"/>
        <w:rPr>
          <w:rFonts w:cs="TimesNewRomanPSMT"/>
        </w:rPr>
      </w:pPr>
      <w:r>
        <w:rPr>
          <w:rFonts w:cs="TimesNewRomanPSMT"/>
        </w:rPr>
        <w:t>Desde hace</w:t>
      </w:r>
      <w:r w:rsidR="00872855">
        <w:rPr>
          <w:rFonts w:cs="TimesNewRomanPSMT"/>
        </w:rPr>
        <w:t xml:space="preserve"> más de</w:t>
      </w:r>
      <w:r w:rsidR="003B1729">
        <w:rPr>
          <w:rFonts w:cs="TimesNewRomanPSMT"/>
        </w:rPr>
        <w:t xml:space="preserve"> dos décadas</w:t>
      </w:r>
      <w:r w:rsidR="00872855">
        <w:rPr>
          <w:rFonts w:cs="TimesNewRomanPSMT"/>
        </w:rPr>
        <w:t xml:space="preserve">, </w:t>
      </w:r>
      <w:r w:rsidR="004A3BDD">
        <w:rPr>
          <w:rFonts w:cs="TimesNewRomanPSMT"/>
        </w:rPr>
        <w:t>hubo un crecimiento  sostenido de la economía del país  incrementándose</w:t>
      </w:r>
      <w:r>
        <w:rPr>
          <w:rFonts w:cs="TimesNewRomanPSMT"/>
        </w:rPr>
        <w:t xml:space="preserve"> los recursos presupuestales </w:t>
      </w:r>
      <w:r w:rsidR="00872855">
        <w:rPr>
          <w:rFonts w:cs="TimesNewRomanPSMT"/>
        </w:rPr>
        <w:t xml:space="preserve">del Gobierno Regional de Cajamarca </w:t>
      </w:r>
      <w:r>
        <w:rPr>
          <w:rFonts w:cs="TimesNewRomanPSMT"/>
        </w:rPr>
        <w:t xml:space="preserve"> principalmente </w:t>
      </w:r>
      <w:r w:rsidR="00872855">
        <w:rPr>
          <w:rFonts w:cs="TimesNewRomanPSMT"/>
        </w:rPr>
        <w:t xml:space="preserve"> por efectos d</w:t>
      </w:r>
      <w:r w:rsidR="00C25B05">
        <w:rPr>
          <w:rFonts w:cs="TimesNewRomanPSMT"/>
        </w:rPr>
        <w:t>el canon minero;</w:t>
      </w:r>
      <w:r>
        <w:rPr>
          <w:rFonts w:cs="TimesNewRomanPSMT"/>
        </w:rPr>
        <w:t xml:space="preserve"> </w:t>
      </w:r>
      <w:r w:rsidR="00872855">
        <w:rPr>
          <w:rFonts w:cs="TimesNewRomanPSMT"/>
        </w:rPr>
        <w:t>a partir de las sucesivas gestiones</w:t>
      </w:r>
      <w:r>
        <w:rPr>
          <w:rFonts w:cs="TimesNewRomanPSMT"/>
        </w:rPr>
        <w:t>, se realizaron</w:t>
      </w:r>
      <w:r w:rsidR="00872855">
        <w:rPr>
          <w:rFonts w:cs="TimesNewRomanPSMT"/>
        </w:rPr>
        <w:t xml:space="preserve"> esfuerzos por</w:t>
      </w:r>
      <w:r w:rsidR="003B1729">
        <w:rPr>
          <w:rFonts w:cs="TimesNewRomanPSMT"/>
        </w:rPr>
        <w:t xml:space="preserve">  reducir la pobreza y las brechas sociales a través del impulso de diversos pro</w:t>
      </w:r>
      <w:r w:rsidR="00A908CF">
        <w:rPr>
          <w:rFonts w:cs="TimesNewRomanPSMT"/>
        </w:rPr>
        <w:t>gramas y proyectos de inversión;</w:t>
      </w:r>
      <w:r w:rsidR="003B1729">
        <w:rPr>
          <w:rFonts w:cs="TimesNewRomanPSMT"/>
        </w:rPr>
        <w:t xml:space="preserve"> sin embargo</w:t>
      </w:r>
      <w:r w:rsidR="00CF21AD">
        <w:rPr>
          <w:rFonts w:cs="TimesNewRomanPSMT"/>
        </w:rPr>
        <w:t>,</w:t>
      </w:r>
      <w:r w:rsidR="003B1729">
        <w:rPr>
          <w:rFonts w:cs="TimesNewRomanPSMT"/>
        </w:rPr>
        <w:t xml:space="preserve"> </w:t>
      </w:r>
      <w:r w:rsidR="00CF21AD">
        <w:rPr>
          <w:rFonts w:cs="TimesNewRomanPSMT"/>
        </w:rPr>
        <w:t>no se lograron</w:t>
      </w:r>
      <w:r w:rsidR="003B1729">
        <w:rPr>
          <w:rFonts w:cs="TimesNewRomanPSMT"/>
        </w:rPr>
        <w:t xml:space="preserve"> los objetivos</w:t>
      </w:r>
      <w:r w:rsidR="00CF21AD">
        <w:rPr>
          <w:rFonts w:cs="TimesNewRomanPSMT"/>
        </w:rPr>
        <w:t xml:space="preserve"> trazados, </w:t>
      </w:r>
      <w:r w:rsidR="00872855">
        <w:rPr>
          <w:rFonts w:cs="TimesNewRomanPSMT"/>
        </w:rPr>
        <w:t xml:space="preserve"> </w:t>
      </w:r>
      <w:r w:rsidR="003B1729">
        <w:rPr>
          <w:rFonts w:cs="TimesNewRomanPSMT"/>
        </w:rPr>
        <w:t>ahora</w:t>
      </w:r>
      <w:r w:rsidR="00872855">
        <w:rPr>
          <w:rFonts w:cs="TimesNewRomanPSMT"/>
        </w:rPr>
        <w:t xml:space="preserve"> nos encontramos en un nuevo contexto donde</w:t>
      </w:r>
      <w:r w:rsidR="003B1729">
        <w:rPr>
          <w:rFonts w:cs="TimesNewRomanPSMT"/>
        </w:rPr>
        <w:t xml:space="preserve"> los recursos del canon han disminuido signif</w:t>
      </w:r>
      <w:r w:rsidR="00872855">
        <w:rPr>
          <w:rFonts w:cs="TimesNewRomanPSMT"/>
        </w:rPr>
        <w:t>i</w:t>
      </w:r>
      <w:r w:rsidR="003B1729">
        <w:rPr>
          <w:rFonts w:cs="TimesNewRomanPSMT"/>
        </w:rPr>
        <w:t>cativamente</w:t>
      </w:r>
      <w:r w:rsidR="006366E5">
        <w:rPr>
          <w:rFonts w:cs="TimesNewRomanPSMT"/>
        </w:rPr>
        <w:t xml:space="preserve"> tornándose más</w:t>
      </w:r>
      <w:r w:rsidR="00CF21AD">
        <w:rPr>
          <w:rFonts w:cs="TimesNewRomanPSMT"/>
        </w:rPr>
        <w:t xml:space="preserve"> crítica</w:t>
      </w:r>
      <w:r w:rsidR="006366E5">
        <w:rPr>
          <w:rFonts w:cs="TimesNewRomanPSMT"/>
        </w:rPr>
        <w:t xml:space="preserve"> la situación</w:t>
      </w:r>
      <w:r w:rsidR="00CF21AD">
        <w:rPr>
          <w:rFonts w:cs="TimesNewRomanPSMT"/>
        </w:rPr>
        <w:t xml:space="preserve"> para abordar  dicha problemática.</w:t>
      </w:r>
    </w:p>
    <w:p w14:paraId="5ACBAC59" w14:textId="77777777" w:rsidR="007D04B2" w:rsidRPr="003B1729" w:rsidRDefault="007D04B2" w:rsidP="003B1729">
      <w:pPr>
        <w:autoSpaceDE w:val="0"/>
        <w:autoSpaceDN w:val="0"/>
        <w:adjustRightInd w:val="0"/>
        <w:spacing w:after="0" w:line="360" w:lineRule="auto"/>
        <w:jc w:val="both"/>
        <w:rPr>
          <w:rFonts w:cs="TimesNewRomanPSMT"/>
        </w:rPr>
      </w:pPr>
    </w:p>
    <w:p w14:paraId="529FBDC7" w14:textId="77777777" w:rsidR="001B6EDE" w:rsidRPr="008B5F29" w:rsidRDefault="00BD2AC8" w:rsidP="008B5F29">
      <w:pPr>
        <w:spacing w:line="360" w:lineRule="auto"/>
        <w:jc w:val="both"/>
      </w:pPr>
      <w:r>
        <w:t>El escenario</w:t>
      </w:r>
      <w:r w:rsidR="00320C41" w:rsidRPr="008B5F29">
        <w:t xml:space="preserve"> </w:t>
      </w:r>
      <w:r w:rsidR="00CF21AD">
        <w:t xml:space="preserve"> actual </w:t>
      </w:r>
      <w:r w:rsidR="00320C41" w:rsidRPr="008B5F29">
        <w:t xml:space="preserve"> </w:t>
      </w:r>
      <w:r w:rsidR="004A3BDD">
        <w:t>de desaceleració</w:t>
      </w:r>
      <w:r>
        <w:t xml:space="preserve">n del crecimiento económico y </w:t>
      </w:r>
      <w:r w:rsidR="004A3BDD">
        <w:t xml:space="preserve"> disminución del canon minero en Cajamarca obliga </w:t>
      </w:r>
      <w:r w:rsidR="009F2180" w:rsidRPr="008B5F29">
        <w:t xml:space="preserve"> </w:t>
      </w:r>
      <w:r w:rsidR="00CF21AD">
        <w:t xml:space="preserve">a pensar en  nuevas </w:t>
      </w:r>
      <w:r w:rsidR="00320C41" w:rsidRPr="008B5F29">
        <w:t xml:space="preserve"> alternati</w:t>
      </w:r>
      <w:r w:rsidR="007D04B2">
        <w:t>vas para abordar la problemática</w:t>
      </w:r>
      <w:r w:rsidR="00CF21AD">
        <w:t xml:space="preserve"> desde </w:t>
      </w:r>
      <w:r w:rsidR="008F6A96" w:rsidRPr="008B5F29">
        <w:t xml:space="preserve">una dimensión </w:t>
      </w:r>
      <w:r w:rsidR="00F03BAF">
        <w:t>estructural;</w:t>
      </w:r>
      <w:r w:rsidR="00320C41" w:rsidRPr="008B5F29">
        <w:t xml:space="preserve"> éstas pasan</w:t>
      </w:r>
      <w:r w:rsidR="007D04B2">
        <w:t xml:space="preserve"> entre otras cosa</w:t>
      </w:r>
      <w:r w:rsidR="00A908CF">
        <w:t>s</w:t>
      </w:r>
      <w:r w:rsidR="00F03BAF">
        <w:t xml:space="preserve"> por</w:t>
      </w:r>
      <w:r w:rsidR="00320C41" w:rsidRPr="008B5F29">
        <w:t xml:space="preserve"> repensar</w:t>
      </w:r>
      <w:r w:rsidR="00C25B05">
        <w:t>,</w:t>
      </w:r>
      <w:r w:rsidR="00320C41" w:rsidRPr="008B5F29">
        <w:t xml:space="preserve"> desde  el modelo de desarrollo que  se requiere para Cajamarca, entender que la pobreza tiene un carácter complejo que debe ser abordado con un enfoque multidimensional</w:t>
      </w:r>
      <w:r w:rsidR="008F3CF2" w:rsidRPr="008B5F29">
        <w:t xml:space="preserve">, </w:t>
      </w:r>
      <w:r w:rsidR="008F6A96" w:rsidRPr="008B5F29">
        <w:t xml:space="preserve"> tener </w:t>
      </w:r>
      <w:r w:rsidR="00320C41" w:rsidRPr="008B5F29">
        <w:t xml:space="preserve"> políticas intersectoriales</w:t>
      </w:r>
      <w:r w:rsidR="00D842D5" w:rsidRPr="008B5F29">
        <w:t xml:space="preserve"> que se complementen</w:t>
      </w:r>
      <w:r w:rsidR="00320C41" w:rsidRPr="008B5F29">
        <w:t>,</w:t>
      </w:r>
      <w:r w:rsidR="00F03BAF">
        <w:t xml:space="preserve"> </w:t>
      </w:r>
      <w:r w:rsidR="008F6A96" w:rsidRPr="008B5F29">
        <w:t xml:space="preserve"> mejorar</w:t>
      </w:r>
      <w:r w:rsidR="00320C41" w:rsidRPr="008B5F29">
        <w:t xml:space="preserve"> la calidad del</w:t>
      </w:r>
      <w:r w:rsidR="008F6A96" w:rsidRPr="008B5F29">
        <w:t xml:space="preserve"> gasto</w:t>
      </w:r>
      <w:r w:rsidR="00320C41" w:rsidRPr="008B5F29">
        <w:t xml:space="preserve"> </w:t>
      </w:r>
      <w:r w:rsidR="00C25B05">
        <w:t>y la inversión pública regional</w:t>
      </w:r>
      <w:r w:rsidR="00320C41" w:rsidRPr="008B5F29">
        <w:t xml:space="preserve"> con soluciones basadas en evidencias</w:t>
      </w:r>
      <w:r w:rsidR="00C25B05">
        <w:t>, que exista</w:t>
      </w:r>
      <w:r w:rsidR="00D842D5" w:rsidRPr="008B5F29">
        <w:t xml:space="preserve"> una articulación </w:t>
      </w:r>
      <w:r w:rsidR="00320C41" w:rsidRPr="008B5F29">
        <w:t xml:space="preserve"> </w:t>
      </w:r>
      <w:r w:rsidR="00CF21AD">
        <w:t xml:space="preserve">efectiva </w:t>
      </w:r>
      <w:r w:rsidR="00320C41" w:rsidRPr="008B5F29">
        <w:t xml:space="preserve">de  las políticas </w:t>
      </w:r>
      <w:r w:rsidR="00CF21AD">
        <w:t xml:space="preserve"> </w:t>
      </w:r>
      <w:r w:rsidR="00320C41" w:rsidRPr="008B5F29">
        <w:t>sociales</w:t>
      </w:r>
      <w:r w:rsidR="00CF21AD">
        <w:t xml:space="preserve">  con la</w:t>
      </w:r>
      <w:r w:rsidR="007D04B2">
        <w:t>s</w:t>
      </w:r>
      <w:r w:rsidR="00CF21AD">
        <w:t xml:space="preserve"> políticas e iniciativas </w:t>
      </w:r>
      <w:r w:rsidR="00320C41" w:rsidRPr="008B5F29">
        <w:t xml:space="preserve"> económicas y ambientales</w:t>
      </w:r>
      <w:r w:rsidR="008F6A96" w:rsidRPr="008B5F29">
        <w:t xml:space="preserve"> en los tres niveles </w:t>
      </w:r>
      <w:r w:rsidR="00320C41" w:rsidRPr="008B5F29">
        <w:t xml:space="preserve"> de gobierno</w:t>
      </w:r>
      <w:r w:rsidR="001B6EDE" w:rsidRPr="008B5F29">
        <w:t xml:space="preserve">, </w:t>
      </w:r>
      <w:r w:rsidR="00AC4DAD" w:rsidRPr="008B5F29">
        <w:t xml:space="preserve"> </w:t>
      </w:r>
      <w:r w:rsidR="00C25B05">
        <w:t xml:space="preserve"> que se efectúen</w:t>
      </w:r>
      <w:r w:rsidR="00CF21AD">
        <w:t xml:space="preserve"> </w:t>
      </w:r>
      <w:r w:rsidR="00C25B05">
        <w:t>rendiciones</w:t>
      </w:r>
      <w:r w:rsidR="00AC4DAD" w:rsidRPr="008B5F29">
        <w:t xml:space="preserve"> d</w:t>
      </w:r>
      <w:r w:rsidR="007D04B2">
        <w:t>e cuentas en base a resultados,</w:t>
      </w:r>
      <w:r w:rsidR="00CF21AD">
        <w:t xml:space="preserve"> pero también  se hace necesario que  el gobierno nacional, </w:t>
      </w:r>
      <w:r w:rsidR="007D04B2">
        <w:t xml:space="preserve"> destine</w:t>
      </w:r>
      <w:r w:rsidR="001B6EDE" w:rsidRPr="008B5F29">
        <w:t xml:space="preserve"> mayores recursos </w:t>
      </w:r>
      <w:r w:rsidR="00CF21AD">
        <w:t xml:space="preserve"> y revisen los criterios de redistribución de  los ingresos fiscales, </w:t>
      </w:r>
      <w:r w:rsidR="001B6EDE" w:rsidRPr="008B5F29">
        <w:t xml:space="preserve"> porque</w:t>
      </w:r>
      <w:r w:rsidR="008F6A96" w:rsidRPr="008B5F29">
        <w:t xml:space="preserve"> Cajamarca </w:t>
      </w:r>
      <w:r w:rsidR="00CF21AD">
        <w:t xml:space="preserve"> es una de las  Regiones</w:t>
      </w:r>
      <w:r w:rsidR="001B6EDE" w:rsidRPr="008B5F29">
        <w:t xml:space="preserve"> con  menor inversión</w:t>
      </w:r>
      <w:r w:rsidR="008F6A96" w:rsidRPr="008B5F29">
        <w:t xml:space="preserve"> y</w:t>
      </w:r>
      <w:r w:rsidR="001B6EDE" w:rsidRPr="008B5F29">
        <w:t xml:space="preserve">  gasto público per</w:t>
      </w:r>
      <w:r w:rsidR="00CA4B6D">
        <w:t xml:space="preserve"> </w:t>
      </w:r>
      <w:r w:rsidR="001B6EDE" w:rsidRPr="008B5F29">
        <w:t>cáp</w:t>
      </w:r>
      <w:r w:rsidR="008F6A96" w:rsidRPr="008B5F29">
        <w:t>ita</w:t>
      </w:r>
      <w:r w:rsidR="00F03BAF">
        <w:t xml:space="preserve"> del Perú</w:t>
      </w:r>
      <w:r w:rsidR="008F6A96" w:rsidRPr="008B5F29">
        <w:t xml:space="preserve">, </w:t>
      </w:r>
      <w:r w:rsidR="001B6EDE" w:rsidRPr="008B5F29">
        <w:t xml:space="preserve"> con lo </w:t>
      </w:r>
      <w:r w:rsidR="008F6A96" w:rsidRPr="008B5F29">
        <w:t>cual  los recursos presupuestales resultan</w:t>
      </w:r>
      <w:r w:rsidR="001B6EDE" w:rsidRPr="008B5F29">
        <w:t xml:space="preserve"> insuficientes para  hacer frente a  la</w:t>
      </w:r>
      <w:r w:rsidR="00D842D5" w:rsidRPr="008B5F29">
        <w:t xml:space="preserve"> magnitud </w:t>
      </w:r>
      <w:r w:rsidR="00CF21AD">
        <w:t xml:space="preserve"> y persistencia </w:t>
      </w:r>
      <w:r w:rsidR="00D842D5" w:rsidRPr="008B5F29">
        <w:t xml:space="preserve">de la </w:t>
      </w:r>
      <w:r w:rsidR="001B6EDE" w:rsidRPr="008B5F29">
        <w:t xml:space="preserve"> pobreza</w:t>
      </w:r>
      <w:r w:rsidR="00D842D5" w:rsidRPr="008B5F29">
        <w:t xml:space="preserve"> y de las </w:t>
      </w:r>
      <w:r w:rsidR="001B6EDE" w:rsidRPr="008B5F29">
        <w:t xml:space="preserve"> br</w:t>
      </w:r>
      <w:r w:rsidR="00D842D5" w:rsidRPr="008B5F29">
        <w:t>echas sociales.</w:t>
      </w:r>
    </w:p>
    <w:p w14:paraId="55406743" w14:textId="77777777" w:rsidR="00815C2C" w:rsidRPr="007457E1" w:rsidRDefault="001B6EDE" w:rsidP="007457E1">
      <w:pPr>
        <w:spacing w:line="360" w:lineRule="auto"/>
        <w:jc w:val="both"/>
      </w:pPr>
      <w:r w:rsidRPr="008B5F29">
        <w:lastRenderedPageBreak/>
        <w:t>En este contexto</w:t>
      </w:r>
      <w:r w:rsidR="008F6A96" w:rsidRPr="008B5F29">
        <w:t xml:space="preserve">, </w:t>
      </w:r>
      <w:r w:rsidR="00A93F6D">
        <w:t>uno de</w:t>
      </w:r>
      <w:r w:rsidR="008D08AB">
        <w:t xml:space="preserve"> los grandes problemas  que la R</w:t>
      </w:r>
      <w:r w:rsidR="00A93F6D">
        <w:t>egión Cajamarca enfrenta es</w:t>
      </w:r>
      <w:r w:rsidR="00C25B05">
        <w:t>,</w:t>
      </w:r>
      <w:r w:rsidR="00A93F6D">
        <w:t xml:space="preserve"> la incapacidad</w:t>
      </w:r>
      <w:r w:rsidR="00C25B05">
        <w:t xml:space="preserve"> histórica</w:t>
      </w:r>
      <w:r w:rsidR="00A93F6D">
        <w:t xml:space="preserve"> para reducir la pobreza y las brechas sociales, que ha</w:t>
      </w:r>
      <w:r w:rsidR="007D04B2">
        <w:t xml:space="preserve"> propiciado rezagos económicos,</w:t>
      </w:r>
      <w:r w:rsidR="00A93F6D">
        <w:t xml:space="preserve"> sociales y ha profundizado la desigualdad social en la región, lo que conduce a  formular la pregunta ¿Son suficientes los recursos presupuestales del Gobierno Regional para disminuir la pobreza y las principales  brechas sociales de Cajamarca?  Para </w:t>
      </w:r>
      <w:r w:rsidR="006B5C6A">
        <w:t>responderla</w:t>
      </w:r>
      <w:r w:rsidR="000E1955">
        <w:t>,</w:t>
      </w:r>
      <w:r w:rsidR="006B5C6A">
        <w:t xml:space="preserve"> se propone tres</w:t>
      </w:r>
      <w:r w:rsidR="00A93F6D">
        <w:t xml:space="preserve"> hipótesis</w:t>
      </w:r>
      <w:r w:rsidR="007457E1">
        <w:t>: En primer lugar qu</w:t>
      </w:r>
      <w:r w:rsidR="00A93F6D">
        <w:t xml:space="preserve">e </w:t>
      </w:r>
      <w:r w:rsidR="00C2128E">
        <w:t xml:space="preserve"> el actual presupuesto y fuentes de financiamiento </w:t>
      </w:r>
      <w:r w:rsidR="00A93F6D">
        <w:t xml:space="preserve"> asignados por el gobierno</w:t>
      </w:r>
      <w:r w:rsidR="007457E1">
        <w:t xml:space="preserve"> nacional al gobierno regional de Cajamarca son inequitativos y resultan </w:t>
      </w:r>
      <w:r w:rsidR="00C2128E">
        <w:t xml:space="preserve"> insuficientes para  reducir  la pobreza, </w:t>
      </w:r>
      <w:r w:rsidR="00CF21AD">
        <w:t xml:space="preserve"> las brechas sociales</w:t>
      </w:r>
      <w:r w:rsidR="006B5C6A">
        <w:t xml:space="preserve"> y  necesidades de</w:t>
      </w:r>
      <w:r w:rsidR="007457E1">
        <w:t xml:space="preserve"> infraestructura</w:t>
      </w:r>
      <w:r w:rsidR="006B5C6A">
        <w:t xml:space="preserve">;  </w:t>
      </w:r>
      <w:r w:rsidR="000E1955">
        <w:t xml:space="preserve"> en segundo lugar que, el gobierno r</w:t>
      </w:r>
      <w:r w:rsidR="007457E1">
        <w:t>egional no ha efectuado uso de  algunos instrumentos de financiamiento  previsto</w:t>
      </w:r>
      <w:r w:rsidR="006B5C6A">
        <w:t>s</w:t>
      </w:r>
      <w:r w:rsidR="000E1955">
        <w:t xml:space="preserve"> en la normativa como son: </w:t>
      </w:r>
      <w:r w:rsidR="007457E1">
        <w:t>obras por impuestos, asociaciones público priva</w:t>
      </w:r>
      <w:r w:rsidR="006B5C6A">
        <w:t xml:space="preserve">das, </w:t>
      </w:r>
      <w:r w:rsidR="009778D5">
        <w:t xml:space="preserve">fideicomisos, proyectos en activos y </w:t>
      </w:r>
      <w:r w:rsidR="006B5C6A">
        <w:t>endeudamiento par</w:t>
      </w:r>
      <w:r w:rsidR="00A908CF">
        <w:t>a acelerar el cierre de brechas</w:t>
      </w:r>
      <w:r w:rsidR="000E1955">
        <w:t xml:space="preserve">; </w:t>
      </w:r>
      <w:r w:rsidR="006B5C6A">
        <w:t xml:space="preserve"> en tercer lugar</w:t>
      </w:r>
      <w:r w:rsidR="00A908CF">
        <w:t>,</w:t>
      </w:r>
      <w:r w:rsidR="006B5C6A">
        <w:t xml:space="preserve"> al estar paralizado la   descentralización fiscal,  los </w:t>
      </w:r>
      <w:r w:rsidR="00343239">
        <w:t xml:space="preserve"> presupuestos de los </w:t>
      </w:r>
      <w:r w:rsidR="006B5C6A">
        <w:t>gobiernos</w:t>
      </w:r>
      <w:r w:rsidR="00343239">
        <w:t xml:space="preserve"> regionales  son muy  dependientes  y volátiles</w:t>
      </w:r>
      <w:r w:rsidR="00CC33A5">
        <w:t xml:space="preserve">  cuando se sustentan</w:t>
      </w:r>
      <w:r w:rsidR="00C26D1C">
        <w:t xml:space="preserve"> en los recursos naturales</w:t>
      </w:r>
      <w:r w:rsidR="00981418">
        <w:t>.</w:t>
      </w:r>
    </w:p>
    <w:p w14:paraId="22C66BBB" w14:textId="77777777" w:rsidR="00815C2C" w:rsidRPr="00815C2C" w:rsidRDefault="00815C2C" w:rsidP="00815C2C">
      <w:pPr>
        <w:autoSpaceDE w:val="0"/>
        <w:autoSpaceDN w:val="0"/>
        <w:adjustRightInd w:val="0"/>
        <w:spacing w:after="0" w:line="240" w:lineRule="auto"/>
        <w:rPr>
          <w:rFonts w:cs="TimesNewRomanPSMT"/>
        </w:rPr>
      </w:pPr>
    </w:p>
    <w:p w14:paraId="311F981C" w14:textId="77777777" w:rsidR="00D004B3" w:rsidRDefault="008D08AB" w:rsidP="008B5F29">
      <w:pPr>
        <w:spacing w:line="360" w:lineRule="auto"/>
        <w:jc w:val="both"/>
        <w:rPr>
          <w:b/>
        </w:rPr>
      </w:pPr>
      <w:r>
        <w:rPr>
          <w:b/>
        </w:rPr>
        <w:t>Consideraciones t</w:t>
      </w:r>
      <w:r w:rsidR="00D004B3">
        <w:rPr>
          <w:b/>
        </w:rPr>
        <w:t>eóricas</w:t>
      </w:r>
    </w:p>
    <w:p w14:paraId="241B4656" w14:textId="77777777" w:rsidR="00E06F5E" w:rsidRDefault="006C229A" w:rsidP="00985D92">
      <w:pPr>
        <w:autoSpaceDE w:val="0"/>
        <w:autoSpaceDN w:val="0"/>
        <w:adjustRightInd w:val="0"/>
        <w:spacing w:after="0" w:line="360" w:lineRule="auto"/>
        <w:jc w:val="both"/>
        <w:rPr>
          <w:rFonts w:cs="TimesNewRomanPSMT"/>
        </w:rPr>
      </w:pPr>
      <w:r>
        <w:rPr>
          <w:rFonts w:cs="TimesNewRomanPSMT"/>
        </w:rPr>
        <w:t>Barcelata (2015) sostiene que</w:t>
      </w:r>
      <w:r w:rsidR="002F7E64">
        <w:rPr>
          <w:rFonts w:cs="TimesNewRomanPSMT"/>
        </w:rPr>
        <w:t>,</w:t>
      </w:r>
      <w:r>
        <w:rPr>
          <w:rFonts w:cs="TimesNewRomanPSMT"/>
        </w:rPr>
        <w:t xml:space="preserve"> </w:t>
      </w:r>
      <w:r w:rsidR="00FE3D21">
        <w:rPr>
          <w:rFonts w:cs="TimesNewRomanPSMT"/>
        </w:rPr>
        <w:t xml:space="preserve"> una</w:t>
      </w:r>
      <w:r w:rsidR="00A908CF">
        <w:rPr>
          <w:rFonts w:cs="TimesNewRomanPSMT"/>
        </w:rPr>
        <w:t xml:space="preserve"> de las causas de los rezagos</w:t>
      </w:r>
      <w:r w:rsidR="004C34A2">
        <w:rPr>
          <w:rFonts w:cs="TimesNewRomanPSMT"/>
        </w:rPr>
        <w:t xml:space="preserve"> </w:t>
      </w:r>
      <w:r w:rsidR="006400DB">
        <w:rPr>
          <w:rFonts w:cs="TimesNewRomanPSMT"/>
        </w:rPr>
        <w:t>o</w:t>
      </w:r>
      <w:r w:rsidR="00B0450F">
        <w:rPr>
          <w:rFonts w:cs="TimesNewRomanPSMT"/>
        </w:rPr>
        <w:t xml:space="preserve"> avances  de los g</w:t>
      </w:r>
      <w:r w:rsidR="00FE3D21">
        <w:rPr>
          <w:rFonts w:cs="TimesNewRomanPSMT"/>
        </w:rPr>
        <w:t>obiernos subn</w:t>
      </w:r>
      <w:r w:rsidR="006400DB">
        <w:rPr>
          <w:rFonts w:cs="TimesNewRomanPSMT"/>
        </w:rPr>
        <w:t xml:space="preserve">acionales es </w:t>
      </w:r>
      <w:r w:rsidR="004C34A2" w:rsidRPr="004C34A2">
        <w:rPr>
          <w:rFonts w:cs="TimesNewRomanPSMT"/>
        </w:rPr>
        <w:t xml:space="preserve"> la profunda desigualda</w:t>
      </w:r>
      <w:r w:rsidR="004C34A2">
        <w:rPr>
          <w:rFonts w:cs="TimesNewRomanPSMT"/>
        </w:rPr>
        <w:t xml:space="preserve">d en el reparto de los recursos </w:t>
      </w:r>
      <w:r w:rsidR="004C34A2" w:rsidRPr="004C34A2">
        <w:rPr>
          <w:rFonts w:cs="TimesNewRomanPSMT"/>
        </w:rPr>
        <w:t xml:space="preserve">públicos necesarios para el desarrollo, por lo </w:t>
      </w:r>
      <w:r w:rsidR="004C34A2">
        <w:rPr>
          <w:rFonts w:cs="TimesNewRomanPSMT"/>
        </w:rPr>
        <w:t xml:space="preserve">cual no es sorprendente que los </w:t>
      </w:r>
      <w:r w:rsidR="006400DB">
        <w:rPr>
          <w:rFonts w:cs="TimesNewRomanPSMT"/>
        </w:rPr>
        <w:t xml:space="preserve"> gobiernos</w:t>
      </w:r>
      <w:r w:rsidR="004C34A2" w:rsidRPr="004C34A2">
        <w:rPr>
          <w:rFonts w:cs="TimesNewRomanPSMT"/>
        </w:rPr>
        <w:t xml:space="preserve"> del círculo virtuoso sean los que má</w:t>
      </w:r>
      <w:r w:rsidR="004C34A2">
        <w:rPr>
          <w:rFonts w:cs="TimesNewRomanPSMT"/>
        </w:rPr>
        <w:t xml:space="preserve">s recursos públicos disponen, a </w:t>
      </w:r>
      <w:r w:rsidR="004C34A2" w:rsidRPr="004C34A2">
        <w:rPr>
          <w:rFonts w:cs="TimesNewRomanPSMT"/>
        </w:rPr>
        <w:t>diferencia de los del círculo vicioso, que padec</w:t>
      </w:r>
      <w:r w:rsidR="004C34A2">
        <w:rPr>
          <w:rFonts w:cs="TimesNewRomanPSMT"/>
        </w:rPr>
        <w:t xml:space="preserve">en una gran escasez de ingresos </w:t>
      </w:r>
      <w:r w:rsidR="004C34A2" w:rsidRPr="004C34A2">
        <w:rPr>
          <w:rFonts w:cs="TimesNewRomanPSMT"/>
        </w:rPr>
        <w:t>públicos. Esto evidencia una importante relación dir</w:t>
      </w:r>
      <w:r w:rsidR="00CF6C4C">
        <w:rPr>
          <w:rFonts w:cs="TimesNewRomanPSMT"/>
        </w:rPr>
        <w:t xml:space="preserve">ecta entre desarrollo </w:t>
      </w:r>
      <w:r w:rsidR="004C34A2">
        <w:rPr>
          <w:rFonts w:cs="TimesNewRomanPSMT"/>
        </w:rPr>
        <w:t xml:space="preserve"> </w:t>
      </w:r>
      <w:r w:rsidR="004C34A2" w:rsidRPr="004C34A2">
        <w:rPr>
          <w:rFonts w:cs="TimesNewRomanPSMT"/>
        </w:rPr>
        <w:t>y recursos públicos, que implica que la mayo</w:t>
      </w:r>
      <w:r w:rsidR="00B207D3">
        <w:rPr>
          <w:rFonts w:cs="TimesNewRomanPSMT"/>
        </w:rPr>
        <w:t>r disponibilidad de e</w:t>
      </w:r>
      <w:r w:rsidR="004C34A2">
        <w:rPr>
          <w:rFonts w:cs="TimesNewRomanPSMT"/>
        </w:rPr>
        <w:t xml:space="preserve">stos tiene </w:t>
      </w:r>
      <w:r w:rsidR="004C34A2" w:rsidRPr="004C34A2">
        <w:rPr>
          <w:rFonts w:cs="TimesNewRomanPSMT"/>
        </w:rPr>
        <w:t xml:space="preserve">un impacto positivo en el </w:t>
      </w:r>
      <w:r w:rsidR="00B0450F">
        <w:rPr>
          <w:rFonts w:cs="TimesNewRomanPSMT"/>
        </w:rPr>
        <w:t>producto bruto</w:t>
      </w:r>
      <w:r w:rsidR="004C34A2" w:rsidRPr="004C34A2">
        <w:rPr>
          <w:rFonts w:cs="TimesNewRomanPSMT-SC800"/>
          <w:sz w:val="18"/>
          <w:szCs w:val="18"/>
        </w:rPr>
        <w:t xml:space="preserve"> </w:t>
      </w:r>
      <w:r w:rsidR="004C34A2" w:rsidRPr="004C34A2">
        <w:rPr>
          <w:rFonts w:cs="TimesNewRomanPSMT"/>
        </w:rPr>
        <w:t>per cápita, en la salud y en</w:t>
      </w:r>
      <w:r w:rsidR="004C34A2">
        <w:rPr>
          <w:rFonts w:cs="TimesNewRomanPSMT"/>
        </w:rPr>
        <w:t xml:space="preserve"> la educación</w:t>
      </w:r>
      <w:r w:rsidR="00CF6C4C">
        <w:rPr>
          <w:rFonts w:cs="TimesNewRomanPSMT"/>
        </w:rPr>
        <w:t>, es decir</w:t>
      </w:r>
      <w:r w:rsidR="007539C5">
        <w:rPr>
          <w:rFonts w:cs="TimesNewRomanPSMT"/>
        </w:rPr>
        <w:t>,</w:t>
      </w:r>
      <w:r w:rsidR="00CF6C4C">
        <w:rPr>
          <w:rFonts w:cs="TimesNewRomanPSMT"/>
        </w:rPr>
        <w:t xml:space="preserve"> en el capital humano</w:t>
      </w:r>
      <w:r w:rsidR="004C34A2">
        <w:rPr>
          <w:rFonts w:cs="TimesNewRomanPSMT"/>
        </w:rPr>
        <w:t xml:space="preserve"> de las </w:t>
      </w:r>
      <w:r w:rsidR="004C34A2" w:rsidRPr="004C34A2">
        <w:rPr>
          <w:rFonts w:cs="TimesNewRomanPSMT"/>
        </w:rPr>
        <w:t>personas</w:t>
      </w:r>
      <w:r w:rsidR="007539C5">
        <w:rPr>
          <w:rFonts w:cs="TimesNewRomanPSMT"/>
        </w:rPr>
        <w:t xml:space="preserve">, además  </w:t>
      </w:r>
      <w:r w:rsidR="00217465">
        <w:rPr>
          <w:rFonts w:cs="TimesNewRomanPSMT"/>
        </w:rPr>
        <w:t>que</w:t>
      </w:r>
      <w:r w:rsidR="00B0450F">
        <w:rPr>
          <w:rFonts w:cs="TimesNewRomanPSMT"/>
        </w:rPr>
        <w:t>,</w:t>
      </w:r>
      <w:r w:rsidR="00217465">
        <w:rPr>
          <w:rFonts w:cs="TimesNewRomanPSMT"/>
        </w:rPr>
        <w:t xml:space="preserve"> el crecimiento pos sí mismo no es suficiente para propiciar desarrollo.</w:t>
      </w:r>
    </w:p>
    <w:p w14:paraId="456614C1" w14:textId="77777777" w:rsidR="00E62D04" w:rsidRDefault="00E62D04" w:rsidP="00FE3D21">
      <w:pPr>
        <w:autoSpaceDE w:val="0"/>
        <w:autoSpaceDN w:val="0"/>
        <w:adjustRightInd w:val="0"/>
        <w:spacing w:after="0" w:line="360" w:lineRule="auto"/>
        <w:jc w:val="both"/>
        <w:rPr>
          <w:rFonts w:cs="TimesNewRomanPSMT"/>
        </w:rPr>
      </w:pPr>
    </w:p>
    <w:p w14:paraId="7836FCD6" w14:textId="77777777" w:rsidR="00E06F5E" w:rsidRPr="00E06F5E" w:rsidRDefault="00E06F5E" w:rsidP="00FE3D21">
      <w:pPr>
        <w:spacing w:line="360" w:lineRule="auto"/>
        <w:jc w:val="both"/>
      </w:pPr>
      <w:r w:rsidRPr="00E06F5E">
        <w:t>En opinión de Ceconi (1998), la teoría no proporciona respuestas claras</w:t>
      </w:r>
      <w:r>
        <w:t xml:space="preserve"> </w:t>
      </w:r>
      <w:r w:rsidRPr="00E06F5E">
        <w:t xml:space="preserve">acerca de la dirección de la causalidad o de la </w:t>
      </w:r>
      <w:r>
        <w:t xml:space="preserve">combinación de recursos </w:t>
      </w:r>
      <w:r w:rsidRPr="00FE3D21">
        <w:t>óptimos</w:t>
      </w:r>
      <w:r>
        <w:t xml:space="preserve"> </w:t>
      </w:r>
      <w:r w:rsidRPr="00E06F5E">
        <w:t>para promover el desarrollo. De la misma manera s</w:t>
      </w:r>
      <w:r>
        <w:t xml:space="preserve">e expresan Lindauer y Velenchik </w:t>
      </w:r>
      <w:r w:rsidRPr="00E06F5E">
        <w:t>(1992), para quienes los estudios sobre la relac</w:t>
      </w:r>
      <w:r>
        <w:t xml:space="preserve">ión entre el gasto público y el </w:t>
      </w:r>
      <w:r w:rsidRPr="00E06F5E">
        <w:t>crecimiento no muestran evidencia</w:t>
      </w:r>
      <w:r w:rsidR="003D50AE">
        <w:t>n</w:t>
      </w:r>
      <w:r w:rsidRPr="00E06F5E">
        <w:t xml:space="preserve"> empírica</w:t>
      </w:r>
      <w:r w:rsidR="003D50AE">
        <w:t>s</w:t>
      </w:r>
      <w:r w:rsidRPr="00E06F5E">
        <w:t xml:space="preserve"> que corrobore una fuerte correlación</w:t>
      </w:r>
      <w:r w:rsidR="00E62D04">
        <w:t xml:space="preserve"> entre esas variables, a</w:t>
      </w:r>
      <w:r w:rsidRPr="00E06F5E">
        <w:t xml:space="preserve"> su parecer, la idea de qu</w:t>
      </w:r>
      <w:r>
        <w:t xml:space="preserve">e el gasto público es un factor </w:t>
      </w:r>
      <w:r w:rsidRPr="00E06F5E">
        <w:t xml:space="preserve">determinante de las tasas de crecimiento </w:t>
      </w:r>
      <w:r w:rsidR="00E62D04">
        <w:t>y bienestar</w:t>
      </w:r>
      <w:r w:rsidR="007177BA">
        <w:t>,</w:t>
      </w:r>
      <w:r w:rsidR="00E62D04">
        <w:t xml:space="preserve"> </w:t>
      </w:r>
      <w:r w:rsidRPr="00E06F5E">
        <w:t>tiene poco sustento.</w:t>
      </w:r>
    </w:p>
    <w:p w14:paraId="708E9DF1" w14:textId="77777777" w:rsidR="00E06F5E" w:rsidRDefault="00E06F5E" w:rsidP="00985D92">
      <w:pPr>
        <w:autoSpaceDE w:val="0"/>
        <w:autoSpaceDN w:val="0"/>
        <w:adjustRightInd w:val="0"/>
        <w:spacing w:after="0" w:line="360" w:lineRule="auto"/>
        <w:jc w:val="both"/>
        <w:rPr>
          <w:rFonts w:cs="TimesNewRomanPSMT"/>
        </w:rPr>
      </w:pPr>
    </w:p>
    <w:p w14:paraId="2A4E1EAA" w14:textId="77777777" w:rsidR="00E06F5E" w:rsidRPr="00E06F5E" w:rsidRDefault="008A3C65" w:rsidP="00985D92">
      <w:pPr>
        <w:autoSpaceDE w:val="0"/>
        <w:autoSpaceDN w:val="0"/>
        <w:adjustRightInd w:val="0"/>
        <w:spacing w:after="0" w:line="360" w:lineRule="auto"/>
        <w:jc w:val="both"/>
        <w:rPr>
          <w:rFonts w:cs="TimesNewRomanPSMT"/>
        </w:rPr>
      </w:pPr>
      <w:r>
        <w:rPr>
          <w:rFonts w:cs="TimesNewRomanPSMT"/>
        </w:rPr>
        <w:t xml:space="preserve">Hay varios </w:t>
      </w:r>
      <w:r w:rsidR="00E06F5E" w:rsidRPr="00E06F5E">
        <w:rPr>
          <w:rFonts w:cs="TimesNewRomanPSMT"/>
        </w:rPr>
        <w:t>esfuerzos por verif</w:t>
      </w:r>
      <w:r w:rsidR="00E06F5E">
        <w:rPr>
          <w:rFonts w:cs="TimesNewRomanPSMT"/>
        </w:rPr>
        <w:t xml:space="preserve">icar si el incremento del gasto </w:t>
      </w:r>
      <w:r w:rsidR="00E06F5E" w:rsidRPr="00E06F5E">
        <w:rPr>
          <w:rFonts w:cs="TimesNewRomanPSMT"/>
        </w:rPr>
        <w:t>púbico se asocia a un mejoramiento en el desarro</w:t>
      </w:r>
      <w:r w:rsidR="00E06F5E">
        <w:rPr>
          <w:rFonts w:cs="TimesNewRomanPSMT"/>
        </w:rPr>
        <w:t xml:space="preserve">llo humano (educación y salud), </w:t>
      </w:r>
      <w:r w:rsidR="00E06F5E" w:rsidRPr="00E06F5E">
        <w:rPr>
          <w:rFonts w:cs="TimesNewRomanPSMT"/>
        </w:rPr>
        <w:t>pero los resul</w:t>
      </w:r>
      <w:r>
        <w:rPr>
          <w:rFonts w:cs="TimesNewRomanPSMT"/>
        </w:rPr>
        <w:t>tados s</w:t>
      </w:r>
      <w:r w:rsidR="00A908CF">
        <w:rPr>
          <w:rFonts w:cs="TimesNewRomanPSMT"/>
        </w:rPr>
        <w:t>on contradictorios;</w:t>
      </w:r>
      <w:r>
        <w:rPr>
          <w:rFonts w:cs="TimesNewRomanPSMT"/>
        </w:rPr>
        <w:t xml:space="preserve"> </w:t>
      </w:r>
      <w:r w:rsidR="00E06F5E" w:rsidRPr="00E06F5E">
        <w:rPr>
          <w:rFonts w:cs="TimesNewRomanPSMT"/>
        </w:rPr>
        <w:t xml:space="preserve"> por un lado, existen trabajos</w:t>
      </w:r>
      <w:r w:rsidR="00E06F5E">
        <w:rPr>
          <w:rFonts w:cs="TimesNewRomanPSMT"/>
        </w:rPr>
        <w:t xml:space="preserve"> </w:t>
      </w:r>
      <w:r>
        <w:rPr>
          <w:rFonts w:cs="TimesNewRomanPSMT"/>
        </w:rPr>
        <w:t xml:space="preserve">que señalan que hay </w:t>
      </w:r>
      <w:r w:rsidR="00E06F5E" w:rsidRPr="00E06F5E">
        <w:rPr>
          <w:rFonts w:cs="TimesNewRomanPSMT"/>
        </w:rPr>
        <w:t>una asociación negativa entre</w:t>
      </w:r>
      <w:r w:rsidR="00E06F5E">
        <w:rPr>
          <w:rFonts w:cs="TimesNewRomanPSMT"/>
        </w:rPr>
        <w:t xml:space="preserve"> eficiencia y niveles de gasto, </w:t>
      </w:r>
      <w:r w:rsidR="00E06F5E" w:rsidRPr="00E06F5E">
        <w:rPr>
          <w:rFonts w:cs="TimesNewRomanPSMT"/>
        </w:rPr>
        <w:t xml:space="preserve">como los de </w:t>
      </w:r>
      <w:r w:rsidR="00E06F5E" w:rsidRPr="00E06F5E">
        <w:rPr>
          <w:rFonts w:cs="TimesNewRomanPSMT"/>
        </w:rPr>
        <w:lastRenderedPageBreak/>
        <w:t>Gupta, Verhoeven y Tiongson (2001</w:t>
      </w:r>
      <w:r w:rsidR="004D014A">
        <w:rPr>
          <w:rFonts w:cs="TimesNewRomanPSMT"/>
        </w:rPr>
        <w:t xml:space="preserve">); Jayasuriya y Wodon (2003), </w:t>
      </w:r>
      <w:r>
        <w:rPr>
          <w:rFonts w:cs="TimesNewRomanPSMT"/>
        </w:rPr>
        <w:t xml:space="preserve"> Afonso</w:t>
      </w:r>
      <w:r w:rsidR="003708FA">
        <w:rPr>
          <w:rFonts w:cs="TimesNewRomanPSMT"/>
        </w:rPr>
        <w:t xml:space="preserve"> y Ebert</w:t>
      </w:r>
      <w:r w:rsidR="00E06F5E" w:rsidRPr="00E06F5E">
        <w:rPr>
          <w:rFonts w:cs="TimesNewRomanPS-ItalicMT"/>
          <w:i/>
          <w:iCs/>
        </w:rPr>
        <w:t xml:space="preserve"> </w:t>
      </w:r>
      <w:r w:rsidR="00E06F5E" w:rsidRPr="00E06F5E">
        <w:rPr>
          <w:rFonts w:cs="TimesNewRomanPSMT"/>
        </w:rPr>
        <w:t xml:space="preserve">(2005). En el mismo sentido, </w:t>
      </w:r>
      <w:r w:rsidR="00E06F5E" w:rsidRPr="004D014A">
        <w:rPr>
          <w:rFonts w:cs="TimesNewRomanPSMT"/>
        </w:rPr>
        <w:t>Herrera y Pang (2005)</w:t>
      </w:r>
      <w:r w:rsidR="00E06F5E" w:rsidRPr="007177BA">
        <w:rPr>
          <w:rFonts w:cs="TimesNewRomanPSMT"/>
          <w:color w:val="FF0000"/>
        </w:rPr>
        <w:t xml:space="preserve"> </w:t>
      </w:r>
      <w:r w:rsidR="00E06F5E">
        <w:rPr>
          <w:rFonts w:cs="TimesNewRomanPSMT"/>
        </w:rPr>
        <w:t xml:space="preserve">han puesto de </w:t>
      </w:r>
      <w:r w:rsidR="00E06F5E" w:rsidRPr="00E06F5E">
        <w:rPr>
          <w:rFonts w:cs="TimesNewRomanPSMT"/>
        </w:rPr>
        <w:t>relieve que los niveles de gasto más elevados e</w:t>
      </w:r>
      <w:r w:rsidR="00E06F5E">
        <w:rPr>
          <w:rFonts w:cs="TimesNewRomanPSMT"/>
        </w:rPr>
        <w:t xml:space="preserve">stán generalmente asociados con </w:t>
      </w:r>
      <w:r w:rsidR="00E06F5E" w:rsidRPr="00E06F5E">
        <w:rPr>
          <w:rFonts w:cs="TimesNewRomanPSMT"/>
        </w:rPr>
        <w:t xml:space="preserve">índices </w:t>
      </w:r>
      <w:r>
        <w:rPr>
          <w:rFonts w:cs="TimesNewRomanPSMT"/>
        </w:rPr>
        <w:t>de eficiencia inferiores.</w:t>
      </w:r>
    </w:p>
    <w:p w14:paraId="11FB19D5" w14:textId="77777777" w:rsidR="00E06F5E" w:rsidRDefault="00E06F5E" w:rsidP="00985D92">
      <w:pPr>
        <w:autoSpaceDE w:val="0"/>
        <w:autoSpaceDN w:val="0"/>
        <w:adjustRightInd w:val="0"/>
        <w:spacing w:after="0" w:line="360" w:lineRule="auto"/>
        <w:jc w:val="both"/>
        <w:rPr>
          <w:rFonts w:cs="TimesNewRomanPSMT"/>
        </w:rPr>
      </w:pPr>
    </w:p>
    <w:p w14:paraId="691AAB16" w14:textId="77777777" w:rsidR="00E06F5E" w:rsidRPr="00E06F5E" w:rsidRDefault="00C10574" w:rsidP="00D524CC">
      <w:pPr>
        <w:autoSpaceDE w:val="0"/>
        <w:autoSpaceDN w:val="0"/>
        <w:adjustRightInd w:val="0"/>
        <w:spacing w:after="0" w:line="360" w:lineRule="auto"/>
        <w:jc w:val="both"/>
        <w:rPr>
          <w:rFonts w:cs="TimesNewRomanPSMT"/>
        </w:rPr>
      </w:pPr>
      <w:r>
        <w:rPr>
          <w:rFonts w:cs="TimesNewRomanPSMT"/>
        </w:rPr>
        <w:t>De  otra parte</w:t>
      </w:r>
      <w:r w:rsidR="007177BA">
        <w:rPr>
          <w:rFonts w:cs="TimesNewRomanPSMT"/>
        </w:rPr>
        <w:t>,</w:t>
      </w:r>
      <w:r w:rsidR="00E06F5E" w:rsidRPr="00E06F5E">
        <w:rPr>
          <w:rFonts w:cs="TimesNewRomanPSMT"/>
        </w:rPr>
        <w:t xml:space="preserve"> están los trabajos que muest</w:t>
      </w:r>
      <w:r w:rsidR="00E06F5E">
        <w:rPr>
          <w:rFonts w:cs="TimesNewRomanPSMT"/>
        </w:rPr>
        <w:t xml:space="preserve">ran una relación positiva entre </w:t>
      </w:r>
      <w:r w:rsidR="00E06F5E" w:rsidRPr="00E06F5E">
        <w:rPr>
          <w:rFonts w:cs="TimesNewRomanPSMT"/>
        </w:rPr>
        <w:t xml:space="preserve">desarrollo y gasto público, como es el de Xu </w:t>
      </w:r>
      <w:r w:rsidR="006C1C5C">
        <w:rPr>
          <w:rFonts w:cs="TimesNewRomanPS-ItalicMT"/>
          <w:i/>
          <w:iCs/>
        </w:rPr>
        <w:t xml:space="preserve"> </w:t>
      </w:r>
      <w:r w:rsidR="006C1C5C" w:rsidRPr="006C1C5C">
        <w:rPr>
          <w:rFonts w:cs="TimesNewRomanPS-ItalicMT"/>
          <w:iCs/>
        </w:rPr>
        <w:t>y otros</w:t>
      </w:r>
      <w:r w:rsidR="00E06F5E" w:rsidRPr="00E06F5E">
        <w:rPr>
          <w:rFonts w:cs="TimesNewRomanPS-ItalicMT"/>
          <w:i/>
          <w:iCs/>
        </w:rPr>
        <w:t xml:space="preserve">. </w:t>
      </w:r>
      <w:r w:rsidR="006C1C5C">
        <w:rPr>
          <w:rFonts w:cs="TimesNewRomanPSMT"/>
        </w:rPr>
        <w:t xml:space="preserve">(2003), asimismo, hay otros autores   </w:t>
      </w:r>
      <w:r w:rsidR="00E06F5E">
        <w:rPr>
          <w:rFonts w:cs="TimesNewRomanPSMT"/>
        </w:rPr>
        <w:t>que</w:t>
      </w:r>
      <w:r w:rsidR="006C1C5C">
        <w:rPr>
          <w:rFonts w:cs="TimesNewRomanPSMT"/>
        </w:rPr>
        <w:t>,</w:t>
      </w:r>
      <w:r w:rsidR="00E06F5E">
        <w:rPr>
          <w:rFonts w:cs="TimesNewRomanPSMT"/>
        </w:rPr>
        <w:t xml:space="preserve"> </w:t>
      </w:r>
      <w:r w:rsidR="00E06F5E" w:rsidRPr="00E06F5E">
        <w:rPr>
          <w:rFonts w:cs="TimesNewRomanPSMT"/>
        </w:rPr>
        <w:t>no han encontrado ningún efecto significat</w:t>
      </w:r>
      <w:r w:rsidR="00E06F5E">
        <w:rPr>
          <w:rFonts w:cs="TimesNewRomanPSMT"/>
        </w:rPr>
        <w:t xml:space="preserve">ivo </w:t>
      </w:r>
      <w:r w:rsidR="006C1C5C">
        <w:rPr>
          <w:rFonts w:cs="TimesNewRomanPSMT"/>
        </w:rPr>
        <w:t xml:space="preserve"> como Filmer y Pritchett</w:t>
      </w:r>
      <w:r w:rsidR="00E06F5E">
        <w:rPr>
          <w:rFonts w:cs="TimesNewRomanPSMT"/>
        </w:rPr>
        <w:t xml:space="preserve"> </w:t>
      </w:r>
      <w:r w:rsidR="006C1C5C">
        <w:rPr>
          <w:rFonts w:cs="TimesNewRomanPSMT"/>
        </w:rPr>
        <w:t>(</w:t>
      </w:r>
      <w:r w:rsidR="00E06F5E">
        <w:rPr>
          <w:rFonts w:cs="TimesNewRomanPSMT"/>
        </w:rPr>
        <w:t xml:space="preserve">1999). </w:t>
      </w:r>
    </w:p>
    <w:p w14:paraId="3F22595D" w14:textId="77777777" w:rsidR="00E06F5E" w:rsidRDefault="00E06F5E" w:rsidP="00985D92">
      <w:pPr>
        <w:autoSpaceDE w:val="0"/>
        <w:autoSpaceDN w:val="0"/>
        <w:adjustRightInd w:val="0"/>
        <w:spacing w:after="0" w:line="360" w:lineRule="auto"/>
        <w:jc w:val="both"/>
        <w:rPr>
          <w:rFonts w:cs="TimesNewRomanPSMT"/>
        </w:rPr>
      </w:pPr>
    </w:p>
    <w:p w14:paraId="23CB0D9E" w14:textId="77777777" w:rsidR="00D402BD" w:rsidRDefault="00D524CC" w:rsidP="00985D92">
      <w:pPr>
        <w:autoSpaceDE w:val="0"/>
        <w:autoSpaceDN w:val="0"/>
        <w:adjustRightInd w:val="0"/>
        <w:spacing w:after="0" w:line="360" w:lineRule="auto"/>
        <w:jc w:val="both"/>
        <w:rPr>
          <w:rFonts w:cs="TimesNewRomanPSMT"/>
        </w:rPr>
      </w:pPr>
      <w:r>
        <w:rPr>
          <w:rFonts w:cs="TimesNewRomanPSMT"/>
        </w:rPr>
        <w:t xml:space="preserve">No obstante, </w:t>
      </w:r>
      <w:r w:rsidR="00E06F5E" w:rsidRPr="00E06F5E">
        <w:rPr>
          <w:rFonts w:cs="TimesNewRomanPSMT"/>
        </w:rPr>
        <w:t>Herná</w:t>
      </w:r>
      <w:r w:rsidR="007177BA">
        <w:rPr>
          <w:rFonts w:cs="TimesNewRomanPSMT"/>
        </w:rPr>
        <w:t>ndez (2010) encuentra evidencia</w:t>
      </w:r>
      <w:r w:rsidR="00E06F5E" w:rsidRPr="00E06F5E">
        <w:rPr>
          <w:rFonts w:cs="TimesNewRomanPSMT"/>
        </w:rPr>
        <w:t xml:space="preserve"> que durante el periodo 1980-2009, en México,</w:t>
      </w:r>
      <w:r>
        <w:rPr>
          <w:rFonts w:cs="TimesNewRomanPSMT"/>
        </w:rPr>
        <w:t xml:space="preserve"> ni el gasto públ</w:t>
      </w:r>
      <w:r w:rsidR="007539C5">
        <w:rPr>
          <w:rFonts w:cs="TimesNewRomanPSMT"/>
        </w:rPr>
        <w:t>ico  en infraestructura  física,</w:t>
      </w:r>
      <w:r w:rsidR="007177BA">
        <w:rPr>
          <w:rFonts w:cs="TimesNewRomanPSMT"/>
        </w:rPr>
        <w:t xml:space="preserve"> ni el </w:t>
      </w:r>
      <w:r w:rsidR="00E06F5E" w:rsidRPr="00E06F5E">
        <w:rPr>
          <w:rFonts w:cs="TimesNewRomanPSMT"/>
        </w:rPr>
        <w:t>gasto soci</w:t>
      </w:r>
      <w:r w:rsidR="007177BA">
        <w:rPr>
          <w:rFonts w:cs="TimesNewRomanPSMT"/>
        </w:rPr>
        <w:t>al</w:t>
      </w:r>
      <w:r w:rsidR="00D402BD">
        <w:rPr>
          <w:rFonts w:cs="TimesNewRomanPSMT"/>
        </w:rPr>
        <w:t xml:space="preserve"> generaron riqueza,  p</w:t>
      </w:r>
      <w:r w:rsidR="00E06F5E" w:rsidRPr="00E06F5E">
        <w:rPr>
          <w:rFonts w:cs="TimesNewRomanPSMT"/>
        </w:rPr>
        <w:t>or ello, en su per</w:t>
      </w:r>
      <w:r w:rsidR="00B207D3">
        <w:rPr>
          <w:rFonts w:cs="TimesNewRomanPSMT"/>
        </w:rPr>
        <w:t>spectiva, no so</w:t>
      </w:r>
      <w:r w:rsidR="00E06F5E">
        <w:rPr>
          <w:rFonts w:cs="TimesNewRomanPSMT"/>
        </w:rPr>
        <w:t xml:space="preserve">lo es importante </w:t>
      </w:r>
      <w:r w:rsidR="00E06F5E" w:rsidRPr="00E06F5E">
        <w:rPr>
          <w:rFonts w:cs="TimesNewRomanPSMT"/>
        </w:rPr>
        <w:t>que el gobierno gaste, sino</w:t>
      </w:r>
      <w:r w:rsidR="007177BA">
        <w:rPr>
          <w:rFonts w:cs="TimesNewRomanPSMT"/>
        </w:rPr>
        <w:t>,</w:t>
      </w:r>
      <w:r w:rsidR="00E06F5E" w:rsidRPr="00E06F5E">
        <w:rPr>
          <w:rFonts w:cs="TimesNewRomanPSMT"/>
        </w:rPr>
        <w:t xml:space="preserve"> que también es fundamental que lo haga bien.</w:t>
      </w:r>
      <w:r>
        <w:rPr>
          <w:rFonts w:cs="TimesNewRomanPSMT"/>
        </w:rPr>
        <w:t xml:space="preserve"> </w:t>
      </w:r>
    </w:p>
    <w:p w14:paraId="3FD62F27" w14:textId="77777777" w:rsidR="00985620" w:rsidRDefault="00985620" w:rsidP="00985D92">
      <w:pPr>
        <w:autoSpaceDE w:val="0"/>
        <w:autoSpaceDN w:val="0"/>
        <w:adjustRightInd w:val="0"/>
        <w:spacing w:after="0" w:line="360" w:lineRule="auto"/>
        <w:jc w:val="both"/>
        <w:rPr>
          <w:rFonts w:cs="TimesNewRomanPSMT"/>
        </w:rPr>
      </w:pPr>
    </w:p>
    <w:p w14:paraId="16DBD352" w14:textId="77777777" w:rsidR="009F4446" w:rsidRDefault="00E06F5E" w:rsidP="00985D92">
      <w:pPr>
        <w:autoSpaceDE w:val="0"/>
        <w:autoSpaceDN w:val="0"/>
        <w:adjustRightInd w:val="0"/>
        <w:spacing w:after="0" w:line="360" w:lineRule="auto"/>
        <w:jc w:val="both"/>
        <w:rPr>
          <w:rFonts w:cs="TimesNewRomanPSMT"/>
        </w:rPr>
      </w:pPr>
      <w:r w:rsidRPr="00E06F5E">
        <w:rPr>
          <w:rFonts w:cs="TimesNewRomanPSMT"/>
        </w:rPr>
        <w:t xml:space="preserve">En este conjunto de ideas </w:t>
      </w:r>
      <w:r w:rsidR="00D402BD">
        <w:rPr>
          <w:rFonts w:cs="TimesNewRomanPSMT"/>
        </w:rPr>
        <w:t xml:space="preserve"> de </w:t>
      </w:r>
      <w:r w:rsidR="0036711D">
        <w:rPr>
          <w:rFonts w:cs="TimesNewRomanPSMT"/>
        </w:rPr>
        <w:t>“</w:t>
      </w:r>
      <w:r w:rsidR="00D402BD">
        <w:rPr>
          <w:rFonts w:cs="TimesNewRomanPSMT"/>
        </w:rPr>
        <w:t>gastar bien</w:t>
      </w:r>
      <w:r w:rsidR="0036711D">
        <w:rPr>
          <w:rFonts w:cs="TimesNewRomanPSMT"/>
        </w:rPr>
        <w:t>”</w:t>
      </w:r>
      <w:r w:rsidR="00D402BD">
        <w:rPr>
          <w:rFonts w:cs="TimesNewRomanPSMT"/>
        </w:rPr>
        <w:t xml:space="preserve">,  </w:t>
      </w:r>
      <w:r w:rsidRPr="00E06F5E">
        <w:rPr>
          <w:rFonts w:cs="TimesNewRomanPSMT"/>
        </w:rPr>
        <w:t>destaca el plantea</w:t>
      </w:r>
      <w:r>
        <w:rPr>
          <w:rFonts w:cs="TimesNewRomanPSMT"/>
        </w:rPr>
        <w:t xml:space="preserve">miento desarrollado por Ranis y </w:t>
      </w:r>
      <w:r w:rsidR="00985620">
        <w:rPr>
          <w:rFonts w:cs="TimesNewRomanPSMT"/>
        </w:rPr>
        <w:t>Stewart (2002</w:t>
      </w:r>
      <w:r w:rsidR="00D402BD">
        <w:rPr>
          <w:rFonts w:cs="TimesNewRomanPSMT"/>
        </w:rPr>
        <w:t>)</w:t>
      </w:r>
      <w:r w:rsidRPr="00E06F5E">
        <w:rPr>
          <w:rFonts w:cs="TimesNewRomanPSMT"/>
        </w:rPr>
        <w:t xml:space="preserve"> qu</w:t>
      </w:r>
      <w:r w:rsidR="007177BA">
        <w:rPr>
          <w:rFonts w:cs="TimesNewRomanPSMT"/>
        </w:rPr>
        <w:t>i</w:t>
      </w:r>
      <w:r w:rsidRPr="00E06F5E">
        <w:rPr>
          <w:rFonts w:cs="TimesNewRomanPSMT"/>
        </w:rPr>
        <w:t>e</w:t>
      </w:r>
      <w:r w:rsidR="007177BA">
        <w:rPr>
          <w:rFonts w:cs="TimesNewRomanPSMT"/>
        </w:rPr>
        <w:t>nes</w:t>
      </w:r>
      <w:r w:rsidRPr="00E06F5E">
        <w:rPr>
          <w:rFonts w:cs="TimesNewRomanPSMT"/>
        </w:rPr>
        <w:t xml:space="preserve"> establece</w:t>
      </w:r>
      <w:r w:rsidR="007177BA">
        <w:rPr>
          <w:rFonts w:cs="TimesNewRomanPSMT"/>
        </w:rPr>
        <w:t>n</w:t>
      </w:r>
      <w:r w:rsidRPr="00E06F5E">
        <w:rPr>
          <w:rFonts w:cs="TimesNewRomanPSMT"/>
        </w:rPr>
        <w:t xml:space="preserve"> la estrecha</w:t>
      </w:r>
      <w:r>
        <w:rPr>
          <w:rFonts w:cs="TimesNewRomanPSMT"/>
        </w:rPr>
        <w:t xml:space="preserve"> </w:t>
      </w:r>
      <w:r w:rsidRPr="00E06F5E">
        <w:rPr>
          <w:rFonts w:cs="TimesNewRomanPSMT"/>
        </w:rPr>
        <w:t>relación</w:t>
      </w:r>
      <w:r w:rsidR="00D402BD">
        <w:rPr>
          <w:rFonts w:cs="TimesNewRomanPSMT"/>
        </w:rPr>
        <w:t xml:space="preserve"> que debe existir</w:t>
      </w:r>
      <w:r w:rsidRPr="00E06F5E">
        <w:rPr>
          <w:rFonts w:cs="TimesNewRomanPSMT"/>
        </w:rPr>
        <w:t xml:space="preserve"> entre crecimiento económico (</w:t>
      </w:r>
      <w:r w:rsidR="00D402BD">
        <w:rPr>
          <w:rFonts w:cs="TimesNewRomanPSMT-SC800"/>
        </w:rPr>
        <w:t>CE</w:t>
      </w:r>
      <w:r w:rsidRPr="00E06F5E">
        <w:rPr>
          <w:rFonts w:cs="TimesNewRomanPSMT"/>
        </w:rPr>
        <w:t>) y desarrollo humano (</w:t>
      </w:r>
      <w:r w:rsidR="00D402BD">
        <w:rPr>
          <w:rFonts w:cs="TimesNewRomanPSMT-SC800"/>
        </w:rPr>
        <w:t>DH</w:t>
      </w:r>
      <w:r>
        <w:rPr>
          <w:rFonts w:cs="TimesNewRomanPSMT"/>
        </w:rPr>
        <w:t xml:space="preserve">) y argumenta </w:t>
      </w:r>
      <w:r w:rsidRPr="00E06F5E">
        <w:rPr>
          <w:rFonts w:cs="TimesNewRomanPSMT"/>
        </w:rPr>
        <w:t>que estas variables se condicionan y complement</w:t>
      </w:r>
      <w:r>
        <w:rPr>
          <w:rFonts w:cs="TimesNewRomanPSMT"/>
        </w:rPr>
        <w:t xml:space="preserve">an una a la otra, constituyendo </w:t>
      </w:r>
      <w:r w:rsidRPr="00E06F5E">
        <w:rPr>
          <w:rFonts w:cs="TimesNewRomanPSMT"/>
        </w:rPr>
        <w:t xml:space="preserve">procesos en los que se retroalimentan </w:t>
      </w:r>
      <w:r w:rsidR="00D402BD">
        <w:rPr>
          <w:rFonts w:cs="TimesNewRomanPSMT"/>
        </w:rPr>
        <w:t>y se refuerzan mutuamente.</w:t>
      </w:r>
      <w:r w:rsidRPr="00E06F5E">
        <w:rPr>
          <w:rFonts w:cs="TimesNewRomanPSMT"/>
        </w:rPr>
        <w:t xml:space="preserve"> Este vínculo genera dos gra</w:t>
      </w:r>
      <w:r>
        <w:rPr>
          <w:rFonts w:cs="TimesNewRomanPSMT"/>
        </w:rPr>
        <w:t xml:space="preserve">ndes encadenamientos en los que </w:t>
      </w:r>
      <w:r w:rsidRPr="00E06F5E">
        <w:rPr>
          <w:rFonts w:cs="TimesNewRomanPSMT"/>
        </w:rPr>
        <w:t xml:space="preserve">el </w:t>
      </w:r>
      <w:r w:rsidR="009F4446">
        <w:rPr>
          <w:rFonts w:cs="TimesNewRomanPSMT-SC800"/>
        </w:rPr>
        <w:t>CE</w:t>
      </w:r>
      <w:r w:rsidRPr="00E06F5E">
        <w:rPr>
          <w:rFonts w:cs="TimesNewRomanPSMT-SC800"/>
        </w:rPr>
        <w:t xml:space="preserve"> </w:t>
      </w:r>
      <w:r w:rsidRPr="00E06F5E">
        <w:rPr>
          <w:rFonts w:cs="TimesNewRomanPSMT"/>
        </w:rPr>
        <w:t xml:space="preserve">provee los recursos para permitir mejoras sustanciales en el </w:t>
      </w:r>
      <w:r w:rsidR="009F4446">
        <w:rPr>
          <w:rFonts w:cs="TimesNewRomanPSMT-SC800"/>
        </w:rPr>
        <w:t>DH</w:t>
      </w:r>
      <w:r>
        <w:rPr>
          <w:rFonts w:cs="TimesNewRomanPSMT"/>
        </w:rPr>
        <w:t xml:space="preserve">, para luego </w:t>
      </w:r>
      <w:r w:rsidRPr="00E06F5E">
        <w:rPr>
          <w:rFonts w:cs="TimesNewRomanPSMT"/>
        </w:rPr>
        <w:t>este último constituirse en un medio con el qu</w:t>
      </w:r>
      <w:r>
        <w:rPr>
          <w:rFonts w:cs="TimesNewRomanPSMT"/>
        </w:rPr>
        <w:t xml:space="preserve">e se crean las condiciones para </w:t>
      </w:r>
      <w:r w:rsidRPr="00E06F5E">
        <w:rPr>
          <w:rFonts w:cs="TimesNewRomanPSMT"/>
        </w:rPr>
        <w:t>impulsar al primero.</w:t>
      </w:r>
    </w:p>
    <w:p w14:paraId="0A46B6B3" w14:textId="77777777" w:rsidR="009F4446" w:rsidRDefault="009F4446" w:rsidP="00985D92">
      <w:pPr>
        <w:autoSpaceDE w:val="0"/>
        <w:autoSpaceDN w:val="0"/>
        <w:adjustRightInd w:val="0"/>
        <w:spacing w:after="0" w:line="360" w:lineRule="auto"/>
        <w:jc w:val="both"/>
        <w:rPr>
          <w:rFonts w:cs="TimesNewRomanPSMT"/>
        </w:rPr>
      </w:pPr>
    </w:p>
    <w:p w14:paraId="55DBB68F" w14:textId="77777777" w:rsidR="00E06F5E" w:rsidRDefault="00C01256" w:rsidP="00985D92">
      <w:pPr>
        <w:autoSpaceDE w:val="0"/>
        <w:autoSpaceDN w:val="0"/>
        <w:adjustRightInd w:val="0"/>
        <w:spacing w:after="0" w:line="360" w:lineRule="auto"/>
        <w:jc w:val="both"/>
        <w:rPr>
          <w:rFonts w:cs="TimesNewRomanPSMT"/>
        </w:rPr>
      </w:pPr>
      <w:r>
        <w:rPr>
          <w:rFonts w:cs="TimesNewRomanPSMT"/>
        </w:rPr>
        <w:t>Según lo señal</w:t>
      </w:r>
      <w:r w:rsidR="00781667">
        <w:rPr>
          <w:rFonts w:cs="TimesNewRomanPSMT"/>
        </w:rPr>
        <w:t>a</w:t>
      </w:r>
      <w:r>
        <w:rPr>
          <w:rFonts w:cs="TimesNewRomanPSMT"/>
        </w:rPr>
        <w:t>do por Ranis y Stewart</w:t>
      </w:r>
      <w:r w:rsidR="00023A53">
        <w:rPr>
          <w:rFonts w:cs="TimesNewRomanPSMT"/>
        </w:rPr>
        <w:t xml:space="preserve"> (2002)</w:t>
      </w:r>
      <w:r>
        <w:rPr>
          <w:rFonts w:cs="TimesNewRomanPSMT"/>
        </w:rPr>
        <w:t>, e</w:t>
      </w:r>
      <w:r w:rsidR="00284D69">
        <w:rPr>
          <w:rFonts w:cs="TimesNewRomanPSMT"/>
        </w:rPr>
        <w:t>l crecimiento genera impactos</w:t>
      </w:r>
      <w:r w:rsidR="00E06F5E">
        <w:rPr>
          <w:rFonts w:cs="TimesNewRomanPSMT"/>
        </w:rPr>
        <w:t xml:space="preserve"> distintos en</w:t>
      </w:r>
      <w:r w:rsidR="00284D69">
        <w:rPr>
          <w:rFonts w:cs="TimesNewRomanPSMT"/>
        </w:rPr>
        <w:t xml:space="preserve"> el </w:t>
      </w:r>
      <w:r w:rsidR="00E06F5E">
        <w:rPr>
          <w:rFonts w:cs="TimesNewRomanPSMT"/>
        </w:rPr>
        <w:t xml:space="preserve"> </w:t>
      </w:r>
      <w:r w:rsidR="00284D69">
        <w:rPr>
          <w:rFonts w:cs="TimesNewRomanPSMT-SC800"/>
        </w:rPr>
        <w:t>DH</w:t>
      </w:r>
      <w:r w:rsidR="00E06F5E" w:rsidRPr="00E06F5E">
        <w:rPr>
          <w:rFonts w:cs="TimesNewRomanPSMT-SC800"/>
        </w:rPr>
        <w:t xml:space="preserve"> </w:t>
      </w:r>
      <w:r w:rsidR="00E06F5E" w:rsidRPr="00E06F5E">
        <w:rPr>
          <w:rFonts w:cs="TimesNewRomanPSMT"/>
        </w:rPr>
        <w:t>porque está sujeto a un conjunto de factores sociales, polític</w:t>
      </w:r>
      <w:r w:rsidR="00E06F5E">
        <w:rPr>
          <w:rFonts w:cs="TimesNewRomanPSMT"/>
        </w:rPr>
        <w:t xml:space="preserve">os e institucionales </w:t>
      </w:r>
      <w:r w:rsidR="00E06F5E" w:rsidRPr="00E06F5E">
        <w:rPr>
          <w:rFonts w:cs="TimesNewRomanPSMT"/>
        </w:rPr>
        <w:t>que determinan la forma en que se asignan los</w:t>
      </w:r>
      <w:r w:rsidR="00284D69">
        <w:rPr>
          <w:rFonts w:cs="TimesNewRomanPSMT"/>
        </w:rPr>
        <w:t xml:space="preserve"> recursos públicos,</w:t>
      </w:r>
      <w:r w:rsidR="00E06F5E">
        <w:rPr>
          <w:rFonts w:cs="TimesNewRomanPSMT"/>
        </w:rPr>
        <w:t xml:space="preserve"> privados y </w:t>
      </w:r>
      <w:r w:rsidR="00284D69">
        <w:rPr>
          <w:rFonts w:cs="TimesNewRomanPSMT"/>
        </w:rPr>
        <w:t>la redistribución el ingreso. E</w:t>
      </w:r>
      <w:r w:rsidR="00E06F5E" w:rsidRPr="00E06F5E">
        <w:rPr>
          <w:rFonts w:cs="TimesNewRomanPSMT"/>
        </w:rPr>
        <w:t xml:space="preserve">l impacto sobre el </w:t>
      </w:r>
      <w:r w:rsidR="00284D69">
        <w:rPr>
          <w:rFonts w:cs="TimesNewRomanPSMT-SC800"/>
        </w:rPr>
        <w:t>DH</w:t>
      </w:r>
      <w:r w:rsidR="00E06F5E" w:rsidRPr="00E06F5E">
        <w:rPr>
          <w:rFonts w:cs="TimesNewRomanPSMT-SC800"/>
        </w:rPr>
        <w:t xml:space="preserve"> </w:t>
      </w:r>
      <w:r w:rsidR="00E06F5E">
        <w:rPr>
          <w:rFonts w:cs="TimesNewRomanPSMT"/>
        </w:rPr>
        <w:t xml:space="preserve">será mayor si los recursos </w:t>
      </w:r>
      <w:r w:rsidR="00E06F5E" w:rsidRPr="00E06F5E">
        <w:rPr>
          <w:rFonts w:cs="TimesNewRomanPSMT"/>
        </w:rPr>
        <w:t>adicionales que genera</w:t>
      </w:r>
      <w:r w:rsidR="00781667">
        <w:rPr>
          <w:rFonts w:cs="TimesNewRomanPSMT"/>
        </w:rPr>
        <w:t>n</w:t>
      </w:r>
      <w:r w:rsidR="00E06F5E" w:rsidRPr="00E06F5E">
        <w:rPr>
          <w:rFonts w:cs="TimesNewRomanPSMT"/>
        </w:rPr>
        <w:t xml:space="preserve"> el crecimiento mejoran las finanzas públicas, de maner</w:t>
      </w:r>
      <w:r w:rsidR="00E06F5E">
        <w:rPr>
          <w:rFonts w:cs="TimesNewRomanPSMT"/>
        </w:rPr>
        <w:t xml:space="preserve">a </w:t>
      </w:r>
      <w:r w:rsidR="00E06F5E" w:rsidRPr="00E06F5E">
        <w:rPr>
          <w:rFonts w:cs="TimesNewRomanPSMT"/>
        </w:rPr>
        <w:t>que existan más fondos públicos para aplicarlos</w:t>
      </w:r>
      <w:r w:rsidR="00E06F5E">
        <w:rPr>
          <w:rFonts w:cs="TimesNewRomanPSMT"/>
        </w:rPr>
        <w:t xml:space="preserve"> en programas que repercutan en </w:t>
      </w:r>
      <w:r w:rsidR="00E06F5E" w:rsidRPr="00E06F5E">
        <w:rPr>
          <w:rFonts w:cs="TimesNewRomanPSMT"/>
        </w:rPr>
        <w:t>aspectos sociales mediante la inversión en capital human</w:t>
      </w:r>
      <w:r w:rsidR="00E06F5E">
        <w:rPr>
          <w:rFonts w:cs="TimesNewRomanPSMT"/>
        </w:rPr>
        <w:t xml:space="preserve">o y que, además, se distribuyan </w:t>
      </w:r>
      <w:r w:rsidR="00E06F5E" w:rsidRPr="00E06F5E">
        <w:rPr>
          <w:rFonts w:cs="TimesNewRomanPSMT"/>
        </w:rPr>
        <w:t>de manera</w:t>
      </w:r>
      <w:r w:rsidR="00284D69">
        <w:rPr>
          <w:rFonts w:cs="TimesNewRomanPSMT"/>
        </w:rPr>
        <w:t xml:space="preserve"> más igualitaria a nivel social, es decir</w:t>
      </w:r>
      <w:r w:rsidR="00781667">
        <w:rPr>
          <w:rFonts w:cs="TimesNewRomanPSMT"/>
        </w:rPr>
        <w:t>,</w:t>
      </w:r>
      <w:r w:rsidR="00284D69">
        <w:rPr>
          <w:rFonts w:cs="TimesNewRomanPSMT"/>
        </w:rPr>
        <w:t xml:space="preserve"> que lleguen a qu</w:t>
      </w:r>
      <w:r w:rsidR="00781667">
        <w:rPr>
          <w:rFonts w:cs="TimesNewRomanPSMT"/>
        </w:rPr>
        <w:t>ienes verdaderamente lo necesita</w:t>
      </w:r>
      <w:r w:rsidR="00284D69">
        <w:rPr>
          <w:rFonts w:cs="TimesNewRomanPSMT"/>
        </w:rPr>
        <w:t>n para no caer en la llamada “trampa de la desigualdad”</w:t>
      </w:r>
      <w:r>
        <w:rPr>
          <w:rFonts w:cs="TimesNewRomanPSMT"/>
        </w:rPr>
        <w:t xml:space="preserve"> que se genera como resultado de la regresividad con que se aplica</w:t>
      </w:r>
      <w:r w:rsidR="00781667">
        <w:rPr>
          <w:rFonts w:cs="TimesNewRomanPSMT"/>
        </w:rPr>
        <w:t>n</w:t>
      </w:r>
      <w:r>
        <w:rPr>
          <w:rFonts w:cs="TimesNewRomanPSMT"/>
        </w:rPr>
        <w:t xml:space="preserve"> los recursos públicos.</w:t>
      </w:r>
    </w:p>
    <w:p w14:paraId="68F77B5E" w14:textId="77777777" w:rsidR="00284D69" w:rsidRPr="00E06F5E" w:rsidRDefault="00284D69" w:rsidP="00985D92">
      <w:pPr>
        <w:autoSpaceDE w:val="0"/>
        <w:autoSpaceDN w:val="0"/>
        <w:adjustRightInd w:val="0"/>
        <w:spacing w:after="0" w:line="360" w:lineRule="auto"/>
        <w:jc w:val="both"/>
        <w:rPr>
          <w:rFonts w:cs="TimesNewRomanPSMT"/>
        </w:rPr>
      </w:pPr>
    </w:p>
    <w:p w14:paraId="7944A2CE" w14:textId="77777777" w:rsidR="00C01256" w:rsidRDefault="00E06F5E" w:rsidP="00985D92">
      <w:pPr>
        <w:autoSpaceDE w:val="0"/>
        <w:autoSpaceDN w:val="0"/>
        <w:adjustRightInd w:val="0"/>
        <w:spacing w:after="0" w:line="360" w:lineRule="auto"/>
        <w:jc w:val="both"/>
        <w:rPr>
          <w:rFonts w:cs="TimesNewRomanPSMT"/>
        </w:rPr>
      </w:pPr>
      <w:r w:rsidRPr="00E06F5E">
        <w:rPr>
          <w:rFonts w:cs="TimesNewRomanPSMT"/>
        </w:rPr>
        <w:t>E</w:t>
      </w:r>
      <w:r w:rsidR="00C01256">
        <w:rPr>
          <w:rFonts w:cs="TimesNewRomanPSMT"/>
        </w:rPr>
        <w:t>n este sentido</w:t>
      </w:r>
      <w:r w:rsidR="0036711D">
        <w:rPr>
          <w:rFonts w:cs="TimesNewRomanPSMT"/>
        </w:rPr>
        <w:t>,</w:t>
      </w:r>
      <w:r w:rsidR="00C01256">
        <w:rPr>
          <w:rFonts w:cs="TimesNewRomanPSMT"/>
        </w:rPr>
        <w:t xml:space="preserve"> </w:t>
      </w:r>
      <w:r w:rsidRPr="00E06F5E">
        <w:rPr>
          <w:rFonts w:cs="TimesNewRomanPSMT"/>
        </w:rPr>
        <w:t>Ranis, Stewar</w:t>
      </w:r>
      <w:r w:rsidR="00C01256">
        <w:rPr>
          <w:rFonts w:cs="TimesNewRomanPSMT"/>
        </w:rPr>
        <w:t>t y Ramírez (</w:t>
      </w:r>
      <w:r w:rsidR="00023A53">
        <w:rPr>
          <w:rFonts w:cs="TimesNewRomanPSMT"/>
        </w:rPr>
        <w:t>2000</w:t>
      </w:r>
      <w:r w:rsidRPr="00E06F5E">
        <w:rPr>
          <w:rFonts w:cs="TimesNewRomanPSMT"/>
        </w:rPr>
        <w:t>)</w:t>
      </w:r>
      <w:r w:rsidR="00C01256">
        <w:rPr>
          <w:rFonts w:cs="TimesNewRomanPSMT"/>
        </w:rPr>
        <w:t xml:space="preserve"> afirman que,  existe evidencia internacional  que </w:t>
      </w:r>
      <w:r w:rsidRPr="00E06F5E">
        <w:rPr>
          <w:rFonts w:cs="TimesNewRomanPSMT"/>
        </w:rPr>
        <w:t xml:space="preserve"> un alto </w:t>
      </w:r>
      <w:r w:rsidR="00C01256">
        <w:rPr>
          <w:rFonts w:cs="TimesNewRomanPSMT-SC800"/>
        </w:rPr>
        <w:t>CE</w:t>
      </w:r>
      <w:r w:rsidRPr="00E06F5E">
        <w:rPr>
          <w:rFonts w:cs="TimesNewRomanPSMT-SC800"/>
        </w:rPr>
        <w:t xml:space="preserve"> </w:t>
      </w:r>
      <w:r w:rsidRPr="00E06F5E">
        <w:rPr>
          <w:rFonts w:cs="TimesNewRomanPSMT"/>
        </w:rPr>
        <w:t xml:space="preserve">mejora rápidamente los indicadores de </w:t>
      </w:r>
      <w:r w:rsidR="00C01256">
        <w:rPr>
          <w:rFonts w:cs="TimesNewRomanPSMT-SC800"/>
        </w:rPr>
        <w:t>DH</w:t>
      </w:r>
      <w:r w:rsidRPr="00E06F5E">
        <w:rPr>
          <w:rFonts w:cs="TimesNewRomanPSMT-SC800"/>
        </w:rPr>
        <w:t xml:space="preserve"> </w:t>
      </w:r>
      <w:r>
        <w:rPr>
          <w:rFonts w:cs="TimesNewRomanPSMT"/>
        </w:rPr>
        <w:t xml:space="preserve">y viceversa, </w:t>
      </w:r>
      <w:r w:rsidRPr="00E06F5E">
        <w:rPr>
          <w:rFonts w:cs="TimesNewRomanPSMT"/>
        </w:rPr>
        <w:t>pero también se observa que un bajo creci</w:t>
      </w:r>
      <w:r>
        <w:rPr>
          <w:rFonts w:cs="TimesNewRomanPSMT"/>
        </w:rPr>
        <w:t xml:space="preserve">miento tiende a generar fuertes </w:t>
      </w:r>
      <w:r w:rsidRPr="00E06F5E">
        <w:rPr>
          <w:rFonts w:cs="TimesNewRomanPSMT"/>
        </w:rPr>
        <w:t xml:space="preserve">rezagos en </w:t>
      </w:r>
      <w:r w:rsidR="00C01256">
        <w:rPr>
          <w:rFonts w:cs="TimesNewRomanPSMT-SC800"/>
        </w:rPr>
        <w:t>DH</w:t>
      </w:r>
      <w:r w:rsidRPr="00E06F5E">
        <w:rPr>
          <w:rFonts w:cs="TimesNewRomanPSMT"/>
        </w:rPr>
        <w:t>, que a su vez generan estancam</w:t>
      </w:r>
      <w:r>
        <w:rPr>
          <w:rFonts w:cs="TimesNewRomanPSMT"/>
        </w:rPr>
        <w:t xml:space="preserve">iento económico. Esto se debe a </w:t>
      </w:r>
      <w:r w:rsidRPr="00E06F5E">
        <w:rPr>
          <w:rFonts w:cs="TimesNewRomanPSMT"/>
        </w:rPr>
        <w:t xml:space="preserve">que el </w:t>
      </w:r>
      <w:r w:rsidR="00C01256">
        <w:rPr>
          <w:rFonts w:cs="TimesNewRomanPSMT-SC800"/>
        </w:rPr>
        <w:t xml:space="preserve">CE </w:t>
      </w:r>
      <w:r w:rsidRPr="00E06F5E">
        <w:rPr>
          <w:rFonts w:cs="TimesNewRomanPSMT"/>
        </w:rPr>
        <w:t>impulsa la expansión de la base material</w:t>
      </w:r>
      <w:r>
        <w:rPr>
          <w:rFonts w:cs="TimesNewRomanPSMT"/>
        </w:rPr>
        <w:t xml:space="preserve"> necesaria para la satisfacción </w:t>
      </w:r>
      <w:r w:rsidRPr="00E06F5E">
        <w:rPr>
          <w:rFonts w:cs="TimesNewRomanPSMT"/>
        </w:rPr>
        <w:t xml:space="preserve">de las </w:t>
      </w:r>
      <w:r w:rsidR="00C01256">
        <w:rPr>
          <w:rFonts w:cs="TimesNewRomanPSMT"/>
        </w:rPr>
        <w:lastRenderedPageBreak/>
        <w:t xml:space="preserve">necesidades humanas </w:t>
      </w:r>
      <w:r w:rsidRPr="00E06F5E">
        <w:rPr>
          <w:rFonts w:cs="TimesNewRomanPSMT"/>
        </w:rPr>
        <w:t xml:space="preserve">como las de salud y </w:t>
      </w:r>
      <w:r>
        <w:rPr>
          <w:rFonts w:cs="TimesNewRomanPSMT"/>
        </w:rPr>
        <w:t>de educac</w:t>
      </w:r>
      <w:r w:rsidR="00C01256">
        <w:rPr>
          <w:rFonts w:cs="TimesNewRomanPSMT"/>
        </w:rPr>
        <w:t>ión</w:t>
      </w:r>
      <w:r>
        <w:rPr>
          <w:rFonts w:cs="TimesNewRomanPSMT"/>
        </w:rPr>
        <w:t xml:space="preserve">, lo cual eleva la </w:t>
      </w:r>
      <w:r w:rsidRPr="00E06F5E">
        <w:rPr>
          <w:rFonts w:cs="TimesNewRomanPSMT"/>
        </w:rPr>
        <w:t>productividad de las personas; en cambio, su ausen</w:t>
      </w:r>
      <w:r>
        <w:rPr>
          <w:rFonts w:cs="TimesNewRomanPSMT"/>
        </w:rPr>
        <w:t xml:space="preserve">cia limita la inversión privada </w:t>
      </w:r>
      <w:r w:rsidR="00C01256">
        <w:rPr>
          <w:rFonts w:cs="TimesNewRomanPSMT"/>
        </w:rPr>
        <w:t>y pública en dichos</w:t>
      </w:r>
      <w:r w:rsidRPr="00E06F5E">
        <w:rPr>
          <w:rFonts w:cs="TimesNewRomanPSMT"/>
        </w:rPr>
        <w:t xml:space="preserve"> rubros, lo que reduce el poten</w:t>
      </w:r>
      <w:r>
        <w:rPr>
          <w:rFonts w:cs="TimesNewRomanPSMT"/>
        </w:rPr>
        <w:t xml:space="preserve">cial de acumulación de recursos </w:t>
      </w:r>
      <w:r w:rsidR="00C01256">
        <w:rPr>
          <w:rFonts w:cs="TimesNewRomanPSMT"/>
        </w:rPr>
        <w:t>productivos. Esto demuestra</w:t>
      </w:r>
      <w:r w:rsidRPr="00E06F5E">
        <w:rPr>
          <w:rFonts w:cs="TimesNewRomanPSMT"/>
        </w:rPr>
        <w:t xml:space="preserve"> que </w:t>
      </w:r>
      <w:r w:rsidR="00C01256">
        <w:rPr>
          <w:rFonts w:cs="TimesNewRomanPSMT-SC800"/>
        </w:rPr>
        <w:t>CE</w:t>
      </w:r>
      <w:r w:rsidRPr="00E06F5E">
        <w:rPr>
          <w:rFonts w:cs="TimesNewRomanPSMT-SC800"/>
        </w:rPr>
        <w:t xml:space="preserve"> </w:t>
      </w:r>
      <w:r w:rsidRPr="00E06F5E">
        <w:rPr>
          <w:rFonts w:cs="TimesNewRomanPSMT"/>
        </w:rPr>
        <w:t xml:space="preserve">y </w:t>
      </w:r>
      <w:r w:rsidR="00C01256">
        <w:rPr>
          <w:rFonts w:cs="TimesNewRomanPSMT-SC800"/>
        </w:rPr>
        <w:t xml:space="preserve">DH </w:t>
      </w:r>
      <w:r w:rsidRPr="00E06F5E">
        <w:rPr>
          <w:rFonts w:cs="TimesNewRomanPSMT"/>
        </w:rPr>
        <w:t>s</w:t>
      </w:r>
      <w:r>
        <w:rPr>
          <w:rFonts w:cs="TimesNewRomanPSMT"/>
        </w:rPr>
        <w:t xml:space="preserve">e fortalecen mutuamente, cuando </w:t>
      </w:r>
      <w:r w:rsidRPr="00E06F5E">
        <w:rPr>
          <w:rFonts w:cs="TimesNewRomanPSMT"/>
        </w:rPr>
        <w:t>aparece un círculo virtuoso (reforzamiento positivo)</w:t>
      </w:r>
      <w:r>
        <w:rPr>
          <w:rFonts w:cs="TimesNewRomanPSMT"/>
        </w:rPr>
        <w:t xml:space="preserve"> o se debilitan uno al otro, en </w:t>
      </w:r>
      <w:r w:rsidRPr="00E06F5E">
        <w:rPr>
          <w:rFonts w:cs="TimesNewRomanPSMT"/>
        </w:rPr>
        <w:t xml:space="preserve">un círculo vicioso (reforzamiento negativo). </w:t>
      </w:r>
    </w:p>
    <w:p w14:paraId="5926BAFC" w14:textId="77777777" w:rsidR="00C01256" w:rsidRDefault="00C01256" w:rsidP="00985D92">
      <w:pPr>
        <w:autoSpaceDE w:val="0"/>
        <w:autoSpaceDN w:val="0"/>
        <w:adjustRightInd w:val="0"/>
        <w:spacing w:after="0" w:line="360" w:lineRule="auto"/>
        <w:jc w:val="both"/>
        <w:rPr>
          <w:rFonts w:cs="TimesNewRomanPSMT"/>
        </w:rPr>
      </w:pPr>
    </w:p>
    <w:p w14:paraId="3DE04304" w14:textId="77777777" w:rsidR="00E06F5E" w:rsidRDefault="00B415E2" w:rsidP="00985D92">
      <w:pPr>
        <w:autoSpaceDE w:val="0"/>
        <w:autoSpaceDN w:val="0"/>
        <w:adjustRightInd w:val="0"/>
        <w:spacing w:after="0" w:line="360" w:lineRule="auto"/>
        <w:jc w:val="both"/>
        <w:rPr>
          <w:rFonts w:cs="TimesNewRomanPSMT"/>
        </w:rPr>
      </w:pPr>
      <w:r>
        <w:rPr>
          <w:rFonts w:cs="TimesNewRomanPSMT"/>
        </w:rPr>
        <w:t xml:space="preserve">Asimismo,  </w:t>
      </w:r>
      <w:r w:rsidRPr="00E06F5E">
        <w:rPr>
          <w:rFonts w:cs="TimesNewRomanPSMT"/>
        </w:rPr>
        <w:t>Ran</w:t>
      </w:r>
      <w:r w:rsidR="0036711D">
        <w:rPr>
          <w:rFonts w:cs="TimesNewRomanPSMT"/>
        </w:rPr>
        <w:t>is y Stewart</w:t>
      </w:r>
      <w:r>
        <w:rPr>
          <w:rFonts w:cs="TimesNewRomanPSMT"/>
        </w:rPr>
        <w:t xml:space="preserve"> </w:t>
      </w:r>
      <w:r w:rsidR="0036711D">
        <w:rPr>
          <w:rFonts w:cs="TimesNewRomanPSMT"/>
        </w:rPr>
        <w:t>(</w:t>
      </w:r>
      <w:r>
        <w:rPr>
          <w:rFonts w:cs="TimesNewRomanPSMT"/>
        </w:rPr>
        <w:t>2007)  consideran que, p</w:t>
      </w:r>
      <w:r w:rsidR="00E06F5E" w:rsidRPr="00E06F5E">
        <w:rPr>
          <w:rFonts w:cs="TimesNewRomanPSMT"/>
        </w:rPr>
        <w:t>ued</w:t>
      </w:r>
      <w:r w:rsidR="00E06F5E">
        <w:rPr>
          <w:rFonts w:cs="TimesNewRomanPSMT"/>
        </w:rPr>
        <w:t xml:space="preserve">e resultar también que un mismo </w:t>
      </w:r>
      <w:r w:rsidR="00E06F5E" w:rsidRPr="00E06F5E">
        <w:rPr>
          <w:rFonts w:cs="TimesNewRomanPSMT"/>
        </w:rPr>
        <w:t xml:space="preserve">ritmo de </w:t>
      </w:r>
      <w:r w:rsidR="00C01256">
        <w:rPr>
          <w:rFonts w:cs="TimesNewRomanPSMT-SC800"/>
        </w:rPr>
        <w:t>CE</w:t>
      </w:r>
      <w:r w:rsidR="00E06F5E" w:rsidRPr="00E06F5E">
        <w:rPr>
          <w:rFonts w:cs="TimesNewRomanPSMT-SC800"/>
        </w:rPr>
        <w:t xml:space="preserve"> </w:t>
      </w:r>
      <w:r w:rsidR="00E06F5E" w:rsidRPr="00E06F5E">
        <w:rPr>
          <w:rFonts w:cs="TimesNewRomanPSMT"/>
        </w:rPr>
        <w:t xml:space="preserve">se traduzca en distintos potenciales de </w:t>
      </w:r>
      <w:r w:rsidR="00C01256">
        <w:rPr>
          <w:rFonts w:cs="TimesNewRomanPSMT-SC800"/>
        </w:rPr>
        <w:t>DH</w:t>
      </w:r>
      <w:r w:rsidR="00E06F5E">
        <w:rPr>
          <w:rFonts w:cs="TimesNewRomanPSMT"/>
        </w:rPr>
        <w:t xml:space="preserve">, por lo que existen regiones </w:t>
      </w:r>
      <w:r w:rsidR="00E06F5E" w:rsidRPr="00E06F5E">
        <w:rPr>
          <w:rFonts w:cs="TimesNewRomanPSMT"/>
        </w:rPr>
        <w:t xml:space="preserve">con un sesgo hacia el </w:t>
      </w:r>
      <w:r w:rsidR="00C01256">
        <w:rPr>
          <w:rFonts w:cs="TimesNewRomanPSMT-SC800"/>
        </w:rPr>
        <w:t>CE</w:t>
      </w:r>
      <w:r w:rsidR="00E06F5E" w:rsidRPr="00E06F5E">
        <w:rPr>
          <w:rFonts w:cs="TimesNewRomanPS-ItalicMT"/>
          <w:i/>
          <w:iCs/>
        </w:rPr>
        <w:t xml:space="preserve">, </w:t>
      </w:r>
      <w:r w:rsidR="00E06F5E" w:rsidRPr="00E06F5E">
        <w:rPr>
          <w:rFonts w:cs="TimesNewRomanPSMT"/>
        </w:rPr>
        <w:t>donde los logros en bi</w:t>
      </w:r>
      <w:r w:rsidR="00E06F5E">
        <w:rPr>
          <w:rFonts w:cs="TimesNewRomanPSMT"/>
        </w:rPr>
        <w:t xml:space="preserve">enestar son pobres a pesar </w:t>
      </w:r>
      <w:r w:rsidR="00E06F5E" w:rsidRPr="00E06F5E">
        <w:rPr>
          <w:rFonts w:cs="TimesNewRomanPSMT"/>
        </w:rPr>
        <w:t>de</w:t>
      </w:r>
      <w:r>
        <w:rPr>
          <w:rFonts w:cs="TimesNewRomanPSMT"/>
        </w:rPr>
        <w:t>l avance en materia económica.  T</w:t>
      </w:r>
      <w:r w:rsidR="00E06F5E" w:rsidRPr="00E06F5E">
        <w:rPr>
          <w:rFonts w:cs="TimesNewRomanPSMT"/>
        </w:rPr>
        <w:t xml:space="preserve">ambién </w:t>
      </w:r>
      <w:r>
        <w:rPr>
          <w:rFonts w:cs="TimesNewRomanPSMT"/>
        </w:rPr>
        <w:t>se observan</w:t>
      </w:r>
      <w:r w:rsidR="00E06F5E">
        <w:rPr>
          <w:rFonts w:cs="TimesNewRomanPSMT"/>
        </w:rPr>
        <w:t xml:space="preserve"> situaciones de </w:t>
      </w:r>
      <w:r w:rsidR="00E06F5E" w:rsidRPr="00E06F5E">
        <w:rPr>
          <w:rFonts w:cs="TimesNewRomanPSMT"/>
        </w:rPr>
        <w:t xml:space="preserve">sesgo hacia el </w:t>
      </w:r>
      <w:r w:rsidR="00C01256">
        <w:rPr>
          <w:rFonts w:cs="TimesNewRomanPSMT-SC800"/>
        </w:rPr>
        <w:t>DH</w:t>
      </w:r>
      <w:r w:rsidR="00B4708F">
        <w:rPr>
          <w:rFonts w:cs="TimesNewRomanPSMT"/>
        </w:rPr>
        <w:t>, en las que e</w:t>
      </w:r>
      <w:r w:rsidR="00E06F5E" w:rsidRPr="00E06F5E">
        <w:rPr>
          <w:rFonts w:cs="TimesNewRomanPSMT"/>
        </w:rPr>
        <w:t>ste es superior a lo alca</w:t>
      </w:r>
      <w:r w:rsidR="00E06F5E">
        <w:rPr>
          <w:rFonts w:cs="TimesNewRomanPSMT"/>
        </w:rPr>
        <w:t>nzado en materia de crecimiento</w:t>
      </w:r>
      <w:r>
        <w:rPr>
          <w:rFonts w:cs="TimesNewRomanPSMT"/>
        </w:rPr>
        <w:t>.</w:t>
      </w:r>
      <w:r w:rsidR="00E06F5E">
        <w:rPr>
          <w:rFonts w:cs="TimesNewRomanPSMT"/>
        </w:rPr>
        <w:t xml:space="preserve"> </w:t>
      </w:r>
      <w:r w:rsidR="00E06F5E" w:rsidRPr="00E06F5E">
        <w:rPr>
          <w:rFonts w:cs="TimesNewRomanPSMT"/>
        </w:rPr>
        <w:t>En este sentido, es fundamental identificar</w:t>
      </w:r>
      <w:r w:rsidR="00E06F5E">
        <w:rPr>
          <w:rFonts w:cs="TimesNewRomanPSMT"/>
        </w:rPr>
        <w:t xml:space="preserve"> los detalles de las conexiones </w:t>
      </w:r>
      <w:r w:rsidR="00E06F5E" w:rsidRPr="00E06F5E">
        <w:rPr>
          <w:rFonts w:cs="TimesNewRomanPSMT"/>
        </w:rPr>
        <w:t>entre e</w:t>
      </w:r>
      <w:r w:rsidR="00C01256">
        <w:rPr>
          <w:rFonts w:cs="TimesNewRomanPSMT"/>
        </w:rPr>
        <w:t>stas variables a nivel regional</w:t>
      </w:r>
      <w:r w:rsidR="00E06F5E" w:rsidRPr="00E06F5E">
        <w:rPr>
          <w:rFonts w:cs="TimesNewRomanPSMT"/>
        </w:rPr>
        <w:t>, ya que ambas con</w:t>
      </w:r>
      <w:r w:rsidR="00E06F5E">
        <w:rPr>
          <w:rFonts w:cs="TimesNewRomanPSMT"/>
        </w:rPr>
        <w:t xml:space="preserve">stituyen el sustento primordial </w:t>
      </w:r>
      <w:r w:rsidR="00E06F5E" w:rsidRPr="00E06F5E">
        <w:rPr>
          <w:rFonts w:cs="TimesNewRomanPSMT"/>
        </w:rPr>
        <w:t>para elaborar políticas públicas que permitan d</w:t>
      </w:r>
      <w:r w:rsidR="00C01256">
        <w:rPr>
          <w:rFonts w:cs="TimesNewRomanPSMT"/>
        </w:rPr>
        <w:t xml:space="preserve">etonar un proceso de desarrollo </w:t>
      </w:r>
      <w:r w:rsidR="007177BA">
        <w:rPr>
          <w:rFonts w:cs="TimesNewRomanPSMT"/>
        </w:rPr>
        <w:t>económico regional</w:t>
      </w:r>
      <w:r w:rsidR="00E06F5E" w:rsidRPr="00E06F5E">
        <w:rPr>
          <w:rFonts w:cs="TimesNewRomanPSMT"/>
        </w:rPr>
        <w:t>, para lo cual son vitales t</w:t>
      </w:r>
      <w:r w:rsidR="00E06F5E">
        <w:rPr>
          <w:rFonts w:cs="TimesNewRomanPSMT"/>
        </w:rPr>
        <w:t xml:space="preserve">anto una acción estatal que </w:t>
      </w:r>
      <w:r w:rsidR="00E06F5E" w:rsidRPr="00E06F5E">
        <w:rPr>
          <w:rFonts w:cs="TimesNewRomanPSMT"/>
        </w:rPr>
        <w:t>impulse dichas políticas, como la magnitud de lo</w:t>
      </w:r>
      <w:r w:rsidR="00E06F5E">
        <w:rPr>
          <w:rFonts w:cs="TimesNewRomanPSMT"/>
        </w:rPr>
        <w:t xml:space="preserve">s recursos públicos disponibles </w:t>
      </w:r>
      <w:r w:rsidR="00E06F5E" w:rsidRPr="00E06F5E">
        <w:rPr>
          <w:rFonts w:cs="TimesNewRomanPSMT"/>
        </w:rPr>
        <w:t>y la eficiencia con que se manejen.</w:t>
      </w:r>
    </w:p>
    <w:p w14:paraId="5F77D8C0" w14:textId="77777777" w:rsidR="00781667" w:rsidRDefault="00781667" w:rsidP="00985D92">
      <w:pPr>
        <w:autoSpaceDE w:val="0"/>
        <w:autoSpaceDN w:val="0"/>
        <w:adjustRightInd w:val="0"/>
        <w:spacing w:after="0" w:line="360" w:lineRule="auto"/>
        <w:jc w:val="both"/>
        <w:rPr>
          <w:rFonts w:cs="TimesNewRomanPSMT"/>
        </w:rPr>
      </w:pPr>
    </w:p>
    <w:p w14:paraId="13C337F6" w14:textId="77777777" w:rsidR="00D45194" w:rsidRDefault="00D45194" w:rsidP="00D45194">
      <w:pPr>
        <w:autoSpaceDE w:val="0"/>
        <w:autoSpaceDN w:val="0"/>
        <w:adjustRightInd w:val="0"/>
        <w:spacing w:after="0" w:line="360" w:lineRule="auto"/>
        <w:jc w:val="both"/>
        <w:rPr>
          <w:rFonts w:cs="TimesNewRomanPSMT"/>
        </w:rPr>
      </w:pPr>
      <w:r>
        <w:rPr>
          <w:rFonts w:cs="TimesNewRomanPSMT"/>
        </w:rPr>
        <w:t>Este planteamiento es compartido</w:t>
      </w:r>
      <w:r w:rsidR="00E06F5E" w:rsidRPr="00E06F5E">
        <w:rPr>
          <w:rFonts w:cs="TimesNewRomanPSMT"/>
        </w:rPr>
        <w:t xml:space="preserve"> por Am</w:t>
      </w:r>
      <w:r w:rsidR="0036711D">
        <w:rPr>
          <w:rFonts w:cs="TimesNewRomanPSMT"/>
        </w:rPr>
        <w:t>artya Sen (2001)</w:t>
      </w:r>
      <w:r w:rsidR="00E06F5E">
        <w:rPr>
          <w:rFonts w:cs="TimesNewRomanPSMT"/>
        </w:rPr>
        <w:t xml:space="preserve"> para quien</w:t>
      </w:r>
      <w:r w:rsidR="0036711D">
        <w:rPr>
          <w:rFonts w:cs="TimesNewRomanPSMT"/>
        </w:rPr>
        <w:t>,</w:t>
      </w:r>
      <w:r w:rsidR="00E06F5E">
        <w:rPr>
          <w:rFonts w:cs="TimesNewRomanPSMT"/>
        </w:rPr>
        <w:t xml:space="preserve"> el </w:t>
      </w:r>
      <w:r w:rsidR="00E06F5E" w:rsidRPr="00E06F5E">
        <w:rPr>
          <w:rFonts w:cs="TimesNewRomanPSMT"/>
        </w:rPr>
        <w:t>desarrollo social estimula un crecimiento econ</w:t>
      </w:r>
      <w:r w:rsidR="00E06F5E">
        <w:rPr>
          <w:rFonts w:cs="TimesNewRomanPSMT"/>
        </w:rPr>
        <w:t xml:space="preserve">ómico rápido e integrador si se </w:t>
      </w:r>
      <w:r w:rsidR="00E06F5E" w:rsidRPr="00E06F5E">
        <w:rPr>
          <w:rFonts w:cs="TimesNewRomanPSMT"/>
        </w:rPr>
        <w:t>complement</w:t>
      </w:r>
      <w:r w:rsidR="00855534">
        <w:rPr>
          <w:rFonts w:cs="TimesNewRomanPSMT"/>
        </w:rPr>
        <w:t>a</w:t>
      </w:r>
      <w:r w:rsidR="007177BA">
        <w:rPr>
          <w:rFonts w:cs="TimesNewRomanPSMT"/>
        </w:rPr>
        <w:t>n</w:t>
      </w:r>
      <w:r w:rsidR="00855534">
        <w:rPr>
          <w:rFonts w:cs="TimesNewRomanPSMT"/>
        </w:rPr>
        <w:t xml:space="preserve"> con políticas favorables </w:t>
      </w:r>
      <w:r w:rsidR="00E06F5E">
        <w:rPr>
          <w:rFonts w:cs="TimesNewRomanPSMT"/>
        </w:rPr>
        <w:t xml:space="preserve"> que fomenten la expansión </w:t>
      </w:r>
      <w:r w:rsidR="00E06F5E" w:rsidRPr="00E06F5E">
        <w:rPr>
          <w:rFonts w:cs="TimesNewRomanPSMT"/>
        </w:rPr>
        <w:t>económica. Por otro lado, señala también que el</w:t>
      </w:r>
      <w:r w:rsidR="00E06F5E">
        <w:rPr>
          <w:rFonts w:cs="TimesNewRomanPSMT"/>
        </w:rPr>
        <w:t xml:space="preserve"> crecimiento económico consiste </w:t>
      </w:r>
      <w:r w:rsidR="00E06F5E" w:rsidRPr="00E06F5E">
        <w:rPr>
          <w:rFonts w:cs="TimesNewRomanPSMT"/>
        </w:rPr>
        <w:t>en proporcionar mayores oportunidades al desarrollo humano y debe est</w:t>
      </w:r>
      <w:r w:rsidR="00E06F5E">
        <w:rPr>
          <w:rFonts w:cs="TimesNewRomanPSMT"/>
        </w:rPr>
        <w:t xml:space="preserve">ar integrado </w:t>
      </w:r>
      <w:r w:rsidR="00855534">
        <w:rPr>
          <w:rFonts w:cs="TimesNewRomanPSMT"/>
        </w:rPr>
        <w:t>en una comprensión</w:t>
      </w:r>
      <w:r w:rsidR="00E06F5E" w:rsidRPr="00E06F5E">
        <w:rPr>
          <w:rFonts w:cs="TimesNewRomanPSMT"/>
        </w:rPr>
        <w:t xml:space="preserve"> básica del proceso d</w:t>
      </w:r>
      <w:r w:rsidR="00E06F5E">
        <w:rPr>
          <w:rFonts w:cs="TimesNewRomanPSMT"/>
        </w:rPr>
        <w:t xml:space="preserve">e desarrollo. Según este autor, </w:t>
      </w:r>
      <w:r w:rsidR="00E06F5E" w:rsidRPr="00E06F5E">
        <w:rPr>
          <w:rFonts w:cs="TimesNewRomanPSMT"/>
        </w:rPr>
        <w:t>la ampliación del gasto público permite estimular la productividad, elevar el</w:t>
      </w:r>
      <w:r w:rsidR="00E06F5E">
        <w:rPr>
          <w:rFonts w:cs="TimesNewRomanPSMT"/>
        </w:rPr>
        <w:t xml:space="preserve"> </w:t>
      </w:r>
      <w:r w:rsidR="00E06F5E" w:rsidRPr="00E06F5E">
        <w:rPr>
          <w:rFonts w:cs="TimesNewRomanPSMT"/>
        </w:rPr>
        <w:t>crecimiento económico y ampliar las prioridade</w:t>
      </w:r>
      <w:r>
        <w:rPr>
          <w:rFonts w:cs="TimesNewRomanPSMT"/>
        </w:rPr>
        <w:t>s del desarrollo</w:t>
      </w:r>
      <w:r w:rsidR="00E06F5E">
        <w:rPr>
          <w:rFonts w:cs="TimesNewRomanPSMT"/>
        </w:rPr>
        <w:t xml:space="preserve">. </w:t>
      </w:r>
      <w:r w:rsidR="00855534">
        <w:rPr>
          <w:rFonts w:cs="TimesNewRomanPSMT"/>
        </w:rPr>
        <w:t>Lo que queda</w:t>
      </w:r>
      <w:r w:rsidR="00E06F5E" w:rsidRPr="00E06F5E">
        <w:rPr>
          <w:rFonts w:cs="TimesNewRomanPSMT"/>
        </w:rPr>
        <w:t xml:space="preserve"> claro es que el efecto del g</w:t>
      </w:r>
      <w:r w:rsidR="00E06F5E">
        <w:rPr>
          <w:rFonts w:cs="TimesNewRomanPSMT"/>
        </w:rPr>
        <w:t xml:space="preserve">asto social sobre el desarrollo </w:t>
      </w:r>
      <w:r w:rsidR="00E06F5E" w:rsidRPr="00E06F5E">
        <w:rPr>
          <w:rFonts w:cs="TimesNewRomanPSMT"/>
        </w:rPr>
        <w:t xml:space="preserve">económico depende de la calidad de las políticas </w:t>
      </w:r>
      <w:r>
        <w:rPr>
          <w:rFonts w:cs="TimesNewRomanPSMT"/>
        </w:rPr>
        <w:t xml:space="preserve">públicas, </w:t>
      </w:r>
      <w:r w:rsidR="00E06F5E">
        <w:rPr>
          <w:rFonts w:cs="TimesNewRomanPSMT"/>
        </w:rPr>
        <w:t xml:space="preserve"> los programas</w:t>
      </w:r>
      <w:r>
        <w:rPr>
          <w:rFonts w:cs="TimesNewRomanPSMT"/>
        </w:rPr>
        <w:t xml:space="preserve"> y proyectos</w:t>
      </w:r>
      <w:r w:rsidR="00E06F5E">
        <w:rPr>
          <w:rFonts w:cs="TimesNewRomanPSMT"/>
        </w:rPr>
        <w:t xml:space="preserve"> que se </w:t>
      </w:r>
      <w:r w:rsidR="00781667">
        <w:rPr>
          <w:rFonts w:cs="TimesNewRomanPSMT"/>
        </w:rPr>
        <w:t xml:space="preserve">implementen así </w:t>
      </w:r>
      <w:r w:rsidR="006C53B1">
        <w:rPr>
          <w:rFonts w:cs="TimesNewRomanPSMT"/>
        </w:rPr>
        <w:t>como</w:t>
      </w:r>
      <w:r w:rsidR="00E06F5E" w:rsidRPr="00E06F5E">
        <w:rPr>
          <w:rFonts w:cs="TimesNewRomanPSMT"/>
        </w:rPr>
        <w:t xml:space="preserve"> de la equidad que conlle</w:t>
      </w:r>
      <w:r w:rsidR="00781667">
        <w:rPr>
          <w:rFonts w:cs="TimesNewRomanPSMT"/>
        </w:rPr>
        <w:t xml:space="preserve">ven, </w:t>
      </w:r>
      <w:r w:rsidR="006C53B1">
        <w:rPr>
          <w:rFonts w:cs="TimesNewRomanPSMT"/>
        </w:rPr>
        <w:t>es</w:t>
      </w:r>
      <w:r w:rsidR="00E06F5E" w:rsidRPr="00E06F5E">
        <w:rPr>
          <w:rFonts w:cs="TimesNewRomanPSMT"/>
        </w:rPr>
        <w:t xml:space="preserve"> decir,</w:t>
      </w:r>
      <w:r w:rsidR="00781667">
        <w:rPr>
          <w:rFonts w:cs="TimesNewRomanPSMT"/>
        </w:rPr>
        <w:t xml:space="preserve"> de</w:t>
      </w:r>
      <w:r w:rsidR="00E06F5E">
        <w:rPr>
          <w:rFonts w:cs="TimesNewRomanPSMT"/>
        </w:rPr>
        <w:t xml:space="preserve"> </w:t>
      </w:r>
      <w:r w:rsidR="0036711D">
        <w:rPr>
          <w:rFonts w:cs="TimesNewRomanPSMT"/>
        </w:rPr>
        <w:t>“</w:t>
      </w:r>
      <w:r w:rsidR="00E06F5E">
        <w:rPr>
          <w:rFonts w:cs="TimesNewRomanPSMT"/>
        </w:rPr>
        <w:t xml:space="preserve">cómo se gasta y en qué se </w:t>
      </w:r>
      <w:r w:rsidR="00E06F5E" w:rsidRPr="00E06F5E">
        <w:rPr>
          <w:rFonts w:cs="TimesNewRomanPSMT"/>
        </w:rPr>
        <w:t>gasta</w:t>
      </w:r>
      <w:r w:rsidR="0036711D">
        <w:rPr>
          <w:rFonts w:cs="TimesNewRomanPSMT"/>
        </w:rPr>
        <w:t>”</w:t>
      </w:r>
      <w:r w:rsidR="00E06F5E" w:rsidRPr="00E06F5E">
        <w:rPr>
          <w:rFonts w:cs="TimesNewRomanPSMT"/>
        </w:rPr>
        <w:t>.</w:t>
      </w:r>
    </w:p>
    <w:p w14:paraId="434695A9" w14:textId="77777777" w:rsidR="00D004B3" w:rsidRDefault="00D004B3" w:rsidP="00D45194">
      <w:pPr>
        <w:autoSpaceDE w:val="0"/>
        <w:autoSpaceDN w:val="0"/>
        <w:adjustRightInd w:val="0"/>
        <w:spacing w:after="0" w:line="360" w:lineRule="auto"/>
        <w:jc w:val="both"/>
        <w:rPr>
          <w:b/>
        </w:rPr>
      </w:pPr>
      <w:r>
        <w:rPr>
          <w:b/>
        </w:rPr>
        <w:t xml:space="preserve"> </w:t>
      </w:r>
      <w:r w:rsidR="0036711D">
        <w:rPr>
          <w:b/>
        </w:rPr>
        <w:t xml:space="preserve"> </w:t>
      </w:r>
    </w:p>
    <w:p w14:paraId="05E83E34" w14:textId="77777777" w:rsidR="00DB5765" w:rsidRPr="008B5F29" w:rsidRDefault="00517205" w:rsidP="008B5F29">
      <w:pPr>
        <w:spacing w:line="360" w:lineRule="auto"/>
        <w:jc w:val="both"/>
        <w:rPr>
          <w:b/>
        </w:rPr>
      </w:pPr>
      <w:r w:rsidRPr="008B5F29">
        <w:rPr>
          <w:b/>
        </w:rPr>
        <w:t>Pobreza y b</w:t>
      </w:r>
      <w:r w:rsidR="00EB42D0" w:rsidRPr="008B5F29">
        <w:rPr>
          <w:b/>
        </w:rPr>
        <w:t>rechas</w:t>
      </w:r>
      <w:r w:rsidR="00DB5765" w:rsidRPr="008B5F29">
        <w:rPr>
          <w:b/>
        </w:rPr>
        <w:t xml:space="preserve"> sociales </w:t>
      </w:r>
    </w:p>
    <w:p w14:paraId="39A70125" w14:textId="77777777" w:rsidR="00C153D0" w:rsidRPr="00C401A0" w:rsidRDefault="00C153D0" w:rsidP="00C401A0">
      <w:pPr>
        <w:autoSpaceDE w:val="0"/>
        <w:autoSpaceDN w:val="0"/>
        <w:adjustRightInd w:val="0"/>
        <w:spacing w:after="0" w:line="360" w:lineRule="auto"/>
        <w:jc w:val="both"/>
        <w:rPr>
          <w:rFonts w:cs="TimesNewRomanPSMT"/>
        </w:rPr>
      </w:pPr>
      <w:r w:rsidRPr="00C401A0">
        <w:rPr>
          <w:rFonts w:cs="TimesNewRomanPSMT"/>
        </w:rPr>
        <w:t>El informe técnico sobre la evolución de la pobreza monetaria entre los años 2009 al 2015, publicado por el Instituto Nacional  de Estadística INEI</w:t>
      </w:r>
      <w:r w:rsidR="00CA4B6D" w:rsidRPr="00C401A0">
        <w:rPr>
          <w:rFonts w:cs="TimesNewRomanPSMT"/>
        </w:rPr>
        <w:t xml:space="preserve"> (2016</w:t>
      </w:r>
      <w:r w:rsidR="003725E0" w:rsidRPr="00C401A0">
        <w:rPr>
          <w:rFonts w:cs="TimesNewRomanPSMT"/>
        </w:rPr>
        <w:t>)</w:t>
      </w:r>
      <w:r w:rsidR="00B17F0B" w:rsidRPr="00C401A0">
        <w:rPr>
          <w:rFonts w:cs="TimesNewRomanPSMT"/>
        </w:rPr>
        <w:t xml:space="preserve">  muestra que</w:t>
      </w:r>
      <w:r w:rsidR="003725E0" w:rsidRPr="00C401A0">
        <w:rPr>
          <w:rFonts w:cs="TimesNewRomanPSMT"/>
        </w:rPr>
        <w:t xml:space="preserve">, </w:t>
      </w:r>
      <w:r w:rsidR="005002A4" w:rsidRPr="00C401A0">
        <w:rPr>
          <w:rFonts w:cs="TimesNewRomanPSMT"/>
        </w:rPr>
        <w:t xml:space="preserve"> en</w:t>
      </w:r>
      <w:r w:rsidR="003725E0" w:rsidRPr="00C401A0">
        <w:rPr>
          <w:rFonts w:cs="TimesNewRomanPSMT"/>
        </w:rPr>
        <w:t xml:space="preserve"> la región </w:t>
      </w:r>
      <w:r w:rsidRPr="00C401A0">
        <w:rPr>
          <w:rFonts w:cs="TimesNewRomanPSMT"/>
        </w:rPr>
        <w:t>persiste</w:t>
      </w:r>
      <w:r w:rsidR="005002A4" w:rsidRPr="00C401A0">
        <w:rPr>
          <w:rFonts w:cs="TimesNewRomanPSMT"/>
        </w:rPr>
        <w:t>n</w:t>
      </w:r>
      <w:r w:rsidRPr="00C401A0">
        <w:rPr>
          <w:rFonts w:cs="TimesNewRomanPSMT"/>
        </w:rPr>
        <w:t xml:space="preserve"> altos índices de po</w:t>
      </w:r>
      <w:r w:rsidR="005002A4" w:rsidRPr="00C401A0">
        <w:rPr>
          <w:rFonts w:cs="TimesNewRomanPSMT"/>
        </w:rPr>
        <w:t>breza y pobreza extrema en estos</w:t>
      </w:r>
      <w:r w:rsidRPr="00C401A0">
        <w:rPr>
          <w:rFonts w:cs="TimesNewRomanPSMT"/>
        </w:rPr>
        <w:t xml:space="preserve"> seis </w:t>
      </w:r>
      <w:r w:rsidR="00B17F0B" w:rsidRPr="00C401A0">
        <w:rPr>
          <w:rFonts w:cs="TimesNewRomanPSMT"/>
        </w:rPr>
        <w:t xml:space="preserve">últimos </w:t>
      </w:r>
      <w:r w:rsidR="005002A4" w:rsidRPr="00C401A0">
        <w:rPr>
          <w:rFonts w:cs="TimesNewRomanPSMT"/>
        </w:rPr>
        <w:t>años</w:t>
      </w:r>
      <w:r w:rsidRPr="00C401A0">
        <w:rPr>
          <w:rFonts w:cs="TimesNewRomanPSMT"/>
        </w:rPr>
        <w:t xml:space="preserve">. En el 2010 más del 50% de su población era pobre, esta situación no varía y continúa  en los siguientes años hasta el 2015. En ese </w:t>
      </w:r>
      <w:r w:rsidR="006C53B1" w:rsidRPr="00C401A0">
        <w:rPr>
          <w:rFonts w:cs="TimesNewRomanPSMT"/>
        </w:rPr>
        <w:t>intervalo</w:t>
      </w:r>
      <w:r w:rsidRPr="00C401A0">
        <w:rPr>
          <w:rFonts w:cs="TimesNewRomanPSMT"/>
        </w:rPr>
        <w:t xml:space="preserve"> de tiempo otros departamentos como Amazonas </w:t>
      </w:r>
      <w:r w:rsidR="002C7CE2" w:rsidRPr="00C401A0">
        <w:rPr>
          <w:rFonts w:cs="TimesNewRomanPSMT"/>
        </w:rPr>
        <w:t>que estaban en similar situación de Cajamarca fueron</w:t>
      </w:r>
      <w:r w:rsidRPr="00C401A0">
        <w:rPr>
          <w:rFonts w:cs="TimesNewRomanPSMT"/>
        </w:rPr>
        <w:t xml:space="preserve"> mejorando progresivamente.</w:t>
      </w:r>
      <w:r w:rsidRPr="00C401A0">
        <w:rPr>
          <w:rFonts w:cs="TimesNewRomanPSMT"/>
        </w:rPr>
        <w:fldChar w:fldCharType="begin"/>
      </w:r>
      <w:r w:rsidRPr="00C401A0">
        <w:rPr>
          <w:rFonts w:cs="TimesNewRomanPSMT"/>
        </w:rPr>
        <w:instrText xml:space="preserve"> HYPERLINK "http://gestion.pe/multimedia/imagen/2159276/142944" \t "_blank" </w:instrText>
      </w:r>
      <w:r w:rsidRPr="00C401A0">
        <w:rPr>
          <w:rFonts w:cs="TimesNewRomanPSMT"/>
        </w:rPr>
        <w:fldChar w:fldCharType="separate"/>
      </w:r>
    </w:p>
    <w:p w14:paraId="56E3C161" w14:textId="77777777" w:rsidR="00C153D0" w:rsidRPr="00EB42D0" w:rsidRDefault="00C153D0" w:rsidP="00C401A0">
      <w:pPr>
        <w:autoSpaceDE w:val="0"/>
        <w:autoSpaceDN w:val="0"/>
        <w:adjustRightInd w:val="0"/>
        <w:spacing w:after="0" w:line="360" w:lineRule="auto"/>
        <w:jc w:val="both"/>
        <w:rPr>
          <w:rFonts w:eastAsia="Times New Roman" w:cs="Times New Roman"/>
          <w:color w:val="222222"/>
          <w:lang w:eastAsia="es-PE"/>
        </w:rPr>
      </w:pPr>
      <w:r w:rsidRPr="00C401A0">
        <w:rPr>
          <w:rFonts w:cs="TimesNewRomanPSMT"/>
        </w:rPr>
        <w:fldChar w:fldCharType="end"/>
      </w:r>
    </w:p>
    <w:p w14:paraId="7A7E9760" w14:textId="77777777" w:rsidR="00C153D0" w:rsidRDefault="00C153D0" w:rsidP="00C401A0">
      <w:pPr>
        <w:autoSpaceDE w:val="0"/>
        <w:autoSpaceDN w:val="0"/>
        <w:adjustRightInd w:val="0"/>
        <w:spacing w:after="0" w:line="360" w:lineRule="auto"/>
        <w:jc w:val="both"/>
        <w:rPr>
          <w:rFonts w:cs="TimesNewRomanPSMT"/>
        </w:rPr>
      </w:pPr>
      <w:r w:rsidRPr="00C401A0">
        <w:rPr>
          <w:rFonts w:cs="TimesNewRomanPSMT"/>
        </w:rPr>
        <w:lastRenderedPageBreak/>
        <w:t>En el caso de pobreza extrema la situación es similar. En el 2013, Cajamarca presentaba una pobreza extrema en el intervalo de 18.14% a 26.97%, al año siguiente seguía liderando el ranking con un intervalo de 15.16% a 23.22% y el 2015, el panorama fue parecido: 16.63% a 23.89%.</w:t>
      </w:r>
    </w:p>
    <w:p w14:paraId="658248B7" w14:textId="77777777" w:rsidR="00C401A0" w:rsidRPr="00C401A0" w:rsidRDefault="00C401A0" w:rsidP="00C401A0">
      <w:pPr>
        <w:autoSpaceDE w:val="0"/>
        <w:autoSpaceDN w:val="0"/>
        <w:adjustRightInd w:val="0"/>
        <w:spacing w:after="0" w:line="360" w:lineRule="auto"/>
        <w:jc w:val="both"/>
        <w:rPr>
          <w:rFonts w:cs="TimesNewRomanPSMT"/>
        </w:rPr>
      </w:pPr>
    </w:p>
    <w:p w14:paraId="522C84A6" w14:textId="77777777" w:rsidR="00C153D0" w:rsidRDefault="00C153D0" w:rsidP="00C401A0">
      <w:pPr>
        <w:autoSpaceDE w:val="0"/>
        <w:autoSpaceDN w:val="0"/>
        <w:adjustRightInd w:val="0"/>
        <w:spacing w:after="0" w:line="360" w:lineRule="auto"/>
        <w:jc w:val="both"/>
        <w:rPr>
          <w:rFonts w:cs="TimesNewRomanPSMT"/>
        </w:rPr>
      </w:pPr>
      <w:r w:rsidRPr="00C401A0">
        <w:rPr>
          <w:rFonts w:cs="TimesNewRomanPSMT"/>
        </w:rPr>
        <w:t>Para explicar los factores que explican la persistenc</w:t>
      </w:r>
      <w:r w:rsidR="00E71807" w:rsidRPr="00C401A0">
        <w:rPr>
          <w:rFonts w:cs="TimesNewRomanPSMT"/>
        </w:rPr>
        <w:t>ia de la pobreza en Cajamarca, a</w:t>
      </w:r>
      <w:r w:rsidR="00CA4B6D" w:rsidRPr="00C401A0">
        <w:rPr>
          <w:rFonts w:cs="TimesNewRomanPSMT"/>
        </w:rPr>
        <w:t>lgunos expertos como</w:t>
      </w:r>
      <w:r w:rsidRPr="00C401A0">
        <w:rPr>
          <w:rFonts w:cs="TimesNewRomanPSMT"/>
        </w:rPr>
        <w:t xml:space="preserve"> Arnill</w:t>
      </w:r>
      <w:r w:rsidR="00E96EAA" w:rsidRPr="00C401A0">
        <w:rPr>
          <w:rFonts w:cs="TimesNewRomanPSMT"/>
        </w:rPr>
        <w:t>as</w:t>
      </w:r>
      <w:r w:rsidR="003708FA" w:rsidRPr="00C401A0">
        <w:rPr>
          <w:rFonts w:cs="TimesNewRomanPSMT"/>
        </w:rPr>
        <w:t xml:space="preserve"> (201</w:t>
      </w:r>
      <w:r w:rsidR="003725E0" w:rsidRPr="00C401A0">
        <w:rPr>
          <w:rFonts w:cs="TimesNewRomanPSMT"/>
        </w:rPr>
        <w:t>6)</w:t>
      </w:r>
      <w:r w:rsidRPr="00C401A0">
        <w:rPr>
          <w:rFonts w:cs="TimesNewRomanPSMT"/>
        </w:rPr>
        <w:t xml:space="preserve"> sostienen que</w:t>
      </w:r>
      <w:r w:rsidR="003725E0" w:rsidRPr="00C401A0">
        <w:rPr>
          <w:rFonts w:cs="TimesNewRomanPSMT"/>
        </w:rPr>
        <w:t>, Cajamarca es la r</w:t>
      </w:r>
      <w:r w:rsidRPr="00C401A0">
        <w:rPr>
          <w:rFonts w:cs="TimesNewRomanPSMT"/>
        </w:rPr>
        <w:t>egión con la más alta tasa de población rural: 66% al 2014</w:t>
      </w:r>
      <w:r w:rsidR="005002A4" w:rsidRPr="00C401A0">
        <w:rPr>
          <w:rFonts w:cs="TimesNewRomanPSMT"/>
        </w:rPr>
        <w:t>,</w:t>
      </w:r>
      <w:r w:rsidRPr="00C401A0">
        <w:rPr>
          <w:rFonts w:cs="TimesNewRomanPSMT"/>
        </w:rPr>
        <w:t xml:space="preserve"> en su mayoría</w:t>
      </w:r>
      <w:r w:rsidR="002C7CE2" w:rsidRPr="00C401A0">
        <w:rPr>
          <w:rFonts w:cs="TimesNewRomanPSMT"/>
        </w:rPr>
        <w:t xml:space="preserve"> </w:t>
      </w:r>
      <w:r w:rsidRPr="00C401A0">
        <w:rPr>
          <w:rFonts w:cs="TimesNewRomanPSMT"/>
        </w:rPr>
        <w:t>pequeños productores agrarios y  muchas de las actividades rurales no han tenido un desenvolvimie</w:t>
      </w:r>
      <w:r w:rsidR="003725E0" w:rsidRPr="00C401A0">
        <w:rPr>
          <w:rFonts w:cs="TimesNewRomanPSMT"/>
        </w:rPr>
        <w:t>nto económico</w:t>
      </w:r>
      <w:r w:rsidRPr="00C401A0">
        <w:rPr>
          <w:rFonts w:cs="TimesNewRomanPSMT"/>
        </w:rPr>
        <w:t xml:space="preserve"> favorable, a este panorama</w:t>
      </w:r>
      <w:r w:rsidR="005002A4" w:rsidRPr="00C401A0">
        <w:rPr>
          <w:rFonts w:cs="TimesNewRomanPSMT"/>
        </w:rPr>
        <w:t xml:space="preserve"> de la alta ruralidad</w:t>
      </w:r>
      <w:r w:rsidRPr="00C401A0">
        <w:rPr>
          <w:rFonts w:cs="TimesNewRomanPSMT"/>
        </w:rPr>
        <w:t>, se suma que</w:t>
      </w:r>
      <w:r w:rsidR="005002A4" w:rsidRPr="00C401A0">
        <w:rPr>
          <w:rFonts w:cs="TimesNewRomanPSMT"/>
        </w:rPr>
        <w:t xml:space="preserve"> Cajamarca  es </w:t>
      </w:r>
      <w:r w:rsidR="00B8539A" w:rsidRPr="00C401A0">
        <w:rPr>
          <w:rFonts w:cs="TimesNewRomanPSMT"/>
        </w:rPr>
        <w:t xml:space="preserve"> una de </w:t>
      </w:r>
      <w:r w:rsidR="005002A4" w:rsidRPr="00C401A0">
        <w:rPr>
          <w:rFonts w:cs="TimesNewRomanPSMT"/>
        </w:rPr>
        <w:t>la</w:t>
      </w:r>
      <w:r w:rsidR="00B8539A" w:rsidRPr="00C401A0">
        <w:rPr>
          <w:rFonts w:cs="TimesNewRomanPSMT"/>
        </w:rPr>
        <w:t>s regiones</w:t>
      </w:r>
      <w:r w:rsidRPr="00C401A0">
        <w:rPr>
          <w:rFonts w:cs="TimesNewRomanPSMT"/>
        </w:rPr>
        <w:t xml:space="preserve"> y lo arrastra de años anteriores</w:t>
      </w:r>
      <w:r w:rsidR="005002A4" w:rsidRPr="00C401A0">
        <w:rPr>
          <w:rFonts w:cs="TimesNewRomanPSMT"/>
        </w:rPr>
        <w:t>,</w:t>
      </w:r>
      <w:r w:rsidR="003725E0" w:rsidRPr="00C401A0">
        <w:rPr>
          <w:rFonts w:cs="TimesNewRomanPSMT"/>
        </w:rPr>
        <w:t xml:space="preserve"> con menor presupuesto</w:t>
      </w:r>
      <w:r w:rsidRPr="00C401A0">
        <w:rPr>
          <w:rFonts w:cs="TimesNewRomanPSMT"/>
        </w:rPr>
        <w:t xml:space="preserve"> público p</w:t>
      </w:r>
      <w:r w:rsidR="00B8539A" w:rsidRPr="00C401A0">
        <w:rPr>
          <w:rFonts w:cs="TimesNewRomanPSMT"/>
        </w:rPr>
        <w:t>er cápita, “El presupuesto público per cápita  asciende a S/. 2,435 que lo única en el puesto 22 de 24 regiones”</w:t>
      </w:r>
      <w:r w:rsidR="003725E0" w:rsidRPr="00C401A0">
        <w:rPr>
          <w:rFonts w:cs="TimesNewRomanPSMT"/>
        </w:rPr>
        <w:t xml:space="preserve"> </w:t>
      </w:r>
      <w:r w:rsidR="00B8539A" w:rsidRPr="00C401A0">
        <w:rPr>
          <w:rFonts w:cs="TimesNewRomanPSMT"/>
        </w:rPr>
        <w:t xml:space="preserve"> (Instituto Peruano de Economía: 75).</w:t>
      </w:r>
      <w:r w:rsidRPr="00C401A0">
        <w:rPr>
          <w:rFonts w:cs="TimesNewRomanPSMT"/>
        </w:rPr>
        <w:t xml:space="preserve"> Esta combinación de bajo gasto público per cápita y alta población rural se traduce en importantes deficiencias en los servicios públicos como en salud y educación, lo que dificulta también promover mejoras en la productividad.</w:t>
      </w:r>
    </w:p>
    <w:p w14:paraId="10E9AAED" w14:textId="77777777" w:rsidR="00C401A0" w:rsidRPr="00C401A0" w:rsidRDefault="00C401A0" w:rsidP="00C401A0">
      <w:pPr>
        <w:autoSpaceDE w:val="0"/>
        <w:autoSpaceDN w:val="0"/>
        <w:adjustRightInd w:val="0"/>
        <w:spacing w:after="0" w:line="360" w:lineRule="auto"/>
        <w:jc w:val="both"/>
        <w:rPr>
          <w:rFonts w:cs="TimesNewRomanPSMT"/>
        </w:rPr>
      </w:pPr>
    </w:p>
    <w:p w14:paraId="6F4EF8AC" w14:textId="77777777" w:rsidR="00C153D0" w:rsidRPr="00C401A0" w:rsidRDefault="00D74ACE" w:rsidP="00C401A0">
      <w:pPr>
        <w:autoSpaceDE w:val="0"/>
        <w:autoSpaceDN w:val="0"/>
        <w:adjustRightInd w:val="0"/>
        <w:spacing w:after="0" w:line="360" w:lineRule="auto"/>
        <w:jc w:val="both"/>
        <w:rPr>
          <w:rFonts w:cs="TimesNewRomanPSMT"/>
        </w:rPr>
      </w:pPr>
      <w:r w:rsidRPr="00C401A0">
        <w:rPr>
          <w:rFonts w:cs="TimesNewRomanPSMT"/>
        </w:rPr>
        <w:t>En este sentido, Secada (2016)</w:t>
      </w:r>
      <w:r w:rsidR="00C153D0" w:rsidRPr="00C401A0">
        <w:rPr>
          <w:rFonts w:cs="TimesNewRomanPSMT"/>
        </w:rPr>
        <w:t xml:space="preserve"> afirma que</w:t>
      </w:r>
      <w:r w:rsidRPr="00C401A0">
        <w:rPr>
          <w:rFonts w:cs="TimesNewRomanPSMT"/>
        </w:rPr>
        <w:t>,</w:t>
      </w:r>
      <w:r w:rsidR="00C153D0" w:rsidRPr="00C401A0">
        <w:rPr>
          <w:rFonts w:cs="TimesNewRomanPSMT"/>
        </w:rPr>
        <w:t xml:space="preserve"> Cajamarca  en el año 2015 está penúltima  en el Índice de Competitividad Regional elaborado por el Instituto Peruano de Economía (IPE), por el cual le va mal en el entorno económico, salud,</w:t>
      </w:r>
      <w:r w:rsidR="00260410">
        <w:rPr>
          <w:rFonts w:cs="TimesNewRomanPSMT"/>
        </w:rPr>
        <w:t xml:space="preserve"> educación e infraestructura,  e</w:t>
      </w:r>
      <w:r w:rsidR="00C153D0" w:rsidRPr="00C401A0">
        <w:rPr>
          <w:rFonts w:cs="TimesNewRomanPSMT"/>
        </w:rPr>
        <w:t xml:space="preserve">sta situación </w:t>
      </w:r>
      <w:r w:rsidR="002C7CE2" w:rsidRPr="00C401A0">
        <w:rPr>
          <w:rFonts w:cs="TimesNewRomanPSMT"/>
        </w:rPr>
        <w:t xml:space="preserve"> </w:t>
      </w:r>
      <w:r w:rsidR="00C153D0" w:rsidRPr="00C401A0">
        <w:rPr>
          <w:rFonts w:cs="TimesNewRomanPSMT"/>
        </w:rPr>
        <w:t xml:space="preserve">genera que los jóvenes migren a otras regiones para estudiar. </w:t>
      </w:r>
    </w:p>
    <w:p w14:paraId="43A6CFA0" w14:textId="77777777" w:rsidR="00707206" w:rsidRDefault="00707206" w:rsidP="00AC7AEF">
      <w:pPr>
        <w:spacing w:line="360" w:lineRule="auto"/>
        <w:jc w:val="both"/>
        <w:rPr>
          <w:rFonts w:eastAsia="Times New Roman" w:cs="Times New Roman"/>
          <w:color w:val="323232"/>
          <w:lang w:eastAsia="es-PE"/>
        </w:rPr>
      </w:pPr>
    </w:p>
    <w:p w14:paraId="717811C0" w14:textId="77777777" w:rsidR="0083424E" w:rsidRPr="008B5F29" w:rsidRDefault="003708FA" w:rsidP="00AC7AEF">
      <w:pPr>
        <w:spacing w:line="360" w:lineRule="auto"/>
        <w:jc w:val="both"/>
        <w:rPr>
          <w:rFonts w:eastAsia="Times New Roman" w:cs="Times New Roman"/>
          <w:color w:val="323232"/>
          <w:lang w:eastAsia="es-PE"/>
        </w:rPr>
      </w:pPr>
      <w:r>
        <w:rPr>
          <w:rFonts w:eastAsia="Times New Roman" w:cs="Times New Roman"/>
          <w:color w:val="323232"/>
          <w:lang w:eastAsia="es-PE"/>
        </w:rPr>
        <w:t>En tanto, Vásquez (201</w:t>
      </w:r>
      <w:r w:rsidR="00C153D0" w:rsidRPr="008B5F29">
        <w:rPr>
          <w:rFonts w:eastAsia="Times New Roman" w:cs="Times New Roman"/>
          <w:color w:val="323232"/>
          <w:lang w:eastAsia="es-PE"/>
        </w:rPr>
        <w:t xml:space="preserve">6)  difiere de la posición de los anteriores, precisando que </w:t>
      </w:r>
      <w:r w:rsidR="00C153D0" w:rsidRPr="00EB42D0">
        <w:rPr>
          <w:rFonts w:eastAsia="Times New Roman" w:cs="Times New Roman"/>
          <w:color w:val="323232"/>
          <w:lang w:eastAsia="es-PE"/>
        </w:rPr>
        <w:t xml:space="preserve"> la situación</w:t>
      </w:r>
      <w:r w:rsidR="00D77151">
        <w:rPr>
          <w:rFonts w:eastAsia="Times New Roman" w:cs="Times New Roman"/>
          <w:color w:val="323232"/>
          <w:lang w:eastAsia="es-PE"/>
        </w:rPr>
        <w:t xml:space="preserve"> de Cajamarca</w:t>
      </w:r>
      <w:r w:rsidR="00C153D0" w:rsidRPr="008B5F29">
        <w:rPr>
          <w:rFonts w:eastAsia="Times New Roman" w:cs="Times New Roman"/>
          <w:color w:val="323232"/>
          <w:lang w:eastAsia="es-PE"/>
        </w:rPr>
        <w:t xml:space="preserve"> se debe en parte </w:t>
      </w:r>
      <w:r w:rsidR="00C153D0" w:rsidRPr="00EB42D0">
        <w:rPr>
          <w:rFonts w:eastAsia="Times New Roman" w:cs="Times New Roman"/>
          <w:color w:val="323232"/>
          <w:lang w:eastAsia="es-PE"/>
        </w:rPr>
        <w:t>a los conflictos mineros y a los proyectos extractivos detenidos</w:t>
      </w:r>
      <w:r w:rsidR="00865883">
        <w:rPr>
          <w:rFonts w:eastAsia="Times New Roman" w:cs="Times New Roman"/>
          <w:color w:val="323232"/>
          <w:lang w:eastAsia="es-PE"/>
        </w:rPr>
        <w:t xml:space="preserve"> que han desembocado en un menor</w:t>
      </w:r>
      <w:r w:rsidR="00C153D0" w:rsidRPr="00EB42D0">
        <w:rPr>
          <w:rFonts w:eastAsia="Times New Roman" w:cs="Times New Roman"/>
          <w:color w:val="323232"/>
          <w:lang w:eastAsia="es-PE"/>
        </w:rPr>
        <w:t xml:space="preserve"> canon para las comunidades a lo que su</w:t>
      </w:r>
      <w:r w:rsidR="00C153D0" w:rsidRPr="008B5F29">
        <w:rPr>
          <w:rFonts w:eastAsia="Times New Roman" w:cs="Times New Roman"/>
          <w:color w:val="323232"/>
          <w:lang w:eastAsia="es-PE"/>
        </w:rPr>
        <w:t>ma, la menor inversión pública.</w:t>
      </w:r>
    </w:p>
    <w:p w14:paraId="264DF0C8" w14:textId="77777777" w:rsidR="00FA1135" w:rsidRPr="00AC7AEF" w:rsidRDefault="003F2486" w:rsidP="00AC7AEF">
      <w:pPr>
        <w:autoSpaceDE w:val="0"/>
        <w:autoSpaceDN w:val="0"/>
        <w:adjustRightInd w:val="0"/>
        <w:spacing w:after="0" w:line="360" w:lineRule="auto"/>
        <w:jc w:val="both"/>
        <w:rPr>
          <w:rFonts w:cs="CenturyGothic"/>
        </w:rPr>
      </w:pPr>
      <w:r>
        <w:rPr>
          <w:rFonts w:eastAsia="Times New Roman" w:cs="Arial"/>
          <w:color w:val="000000"/>
          <w:bdr w:val="none" w:sz="0" w:space="0" w:color="auto" w:frame="1"/>
          <w:lang w:eastAsia="es-PE"/>
        </w:rPr>
        <w:t>Otros</w:t>
      </w:r>
      <w:r w:rsidR="00707206">
        <w:rPr>
          <w:rFonts w:eastAsia="Times New Roman" w:cs="Arial"/>
          <w:color w:val="000000"/>
          <w:bdr w:val="none" w:sz="0" w:space="0" w:color="auto" w:frame="1"/>
          <w:lang w:eastAsia="es-PE"/>
        </w:rPr>
        <w:t xml:space="preserve"> indicadores</w:t>
      </w:r>
      <w:r w:rsidR="00E96EAA">
        <w:rPr>
          <w:rFonts w:eastAsia="Times New Roman" w:cs="Arial"/>
          <w:color w:val="000000"/>
          <w:bdr w:val="none" w:sz="0" w:space="0" w:color="auto" w:frame="1"/>
          <w:lang w:eastAsia="es-PE"/>
        </w:rPr>
        <w:t xml:space="preserve"> sociales de Cajamarca, muestran también resultados alarmantes,</w:t>
      </w:r>
      <w:r w:rsidR="00200708">
        <w:rPr>
          <w:rFonts w:eastAsia="Times New Roman" w:cs="Arial"/>
          <w:color w:val="000000"/>
          <w:bdr w:val="none" w:sz="0" w:space="0" w:color="auto" w:frame="1"/>
          <w:lang w:eastAsia="es-PE"/>
        </w:rPr>
        <w:t xml:space="preserve"> según </w:t>
      </w:r>
      <w:r w:rsidR="00AC7AEF">
        <w:rPr>
          <w:rFonts w:eastAsia="Times New Roman" w:cs="Arial"/>
          <w:color w:val="000000"/>
          <w:bdr w:val="none" w:sz="0" w:space="0" w:color="auto" w:frame="1"/>
          <w:lang w:eastAsia="es-PE"/>
        </w:rPr>
        <w:t>información d</w:t>
      </w:r>
      <w:r w:rsidR="00200708">
        <w:rPr>
          <w:rFonts w:eastAsia="Times New Roman" w:cs="Arial"/>
          <w:color w:val="000000"/>
          <w:bdr w:val="none" w:sz="0" w:space="0" w:color="auto" w:frame="1"/>
          <w:lang w:eastAsia="es-PE"/>
        </w:rPr>
        <w:t xml:space="preserve">el Instituto Peruano de Economía (2016) </w:t>
      </w:r>
      <w:r w:rsidR="00E96EAA">
        <w:rPr>
          <w:rFonts w:eastAsia="Times New Roman" w:cs="Arial"/>
          <w:color w:val="000000"/>
          <w:bdr w:val="none" w:sz="0" w:space="0" w:color="auto" w:frame="1"/>
          <w:lang w:eastAsia="es-PE"/>
        </w:rPr>
        <w:t xml:space="preserve"> en salud</w:t>
      </w:r>
      <w:r>
        <w:rPr>
          <w:rFonts w:eastAsia="Times New Roman" w:cs="Arial"/>
          <w:color w:val="000000"/>
          <w:bdr w:val="none" w:sz="0" w:space="0" w:color="auto" w:frame="1"/>
          <w:lang w:eastAsia="es-PE"/>
        </w:rPr>
        <w:t>,</w:t>
      </w:r>
      <w:r w:rsidR="00E96EAA">
        <w:rPr>
          <w:rFonts w:eastAsia="Times New Roman" w:cs="Arial"/>
          <w:color w:val="000000"/>
          <w:bdr w:val="none" w:sz="0" w:space="0" w:color="auto" w:frame="1"/>
          <w:lang w:eastAsia="es-PE"/>
        </w:rPr>
        <w:t xml:space="preserve"> la mortalidad en la niñez </w:t>
      </w:r>
      <w:r w:rsidR="00572403">
        <w:rPr>
          <w:rFonts w:eastAsia="Times New Roman" w:cs="Arial"/>
          <w:color w:val="000000"/>
          <w:bdr w:val="none" w:sz="0" w:space="0" w:color="auto" w:frame="1"/>
          <w:lang w:eastAsia="es-PE"/>
        </w:rPr>
        <w:t xml:space="preserve"> es de </w:t>
      </w:r>
      <w:r w:rsidR="00E96EAA">
        <w:rPr>
          <w:rFonts w:eastAsia="Times New Roman" w:cs="Arial"/>
          <w:color w:val="000000"/>
          <w:bdr w:val="none" w:sz="0" w:space="0" w:color="auto" w:frame="1"/>
          <w:lang w:eastAsia="es-PE"/>
        </w:rPr>
        <w:t xml:space="preserve"> 29</w:t>
      </w:r>
      <w:r w:rsidR="00FA1135">
        <w:rPr>
          <w:rFonts w:eastAsia="Times New Roman" w:cs="Arial"/>
          <w:color w:val="000000"/>
          <w:bdr w:val="none" w:sz="0" w:space="0" w:color="auto" w:frame="1"/>
          <w:lang w:eastAsia="es-PE"/>
        </w:rPr>
        <w:t xml:space="preserve"> por cada mil nacidos</w:t>
      </w:r>
      <w:r w:rsidR="00E96EAA">
        <w:rPr>
          <w:rFonts w:eastAsia="Times New Roman" w:cs="Arial"/>
          <w:color w:val="000000"/>
          <w:bdr w:val="none" w:sz="0" w:space="0" w:color="auto" w:frame="1"/>
          <w:lang w:eastAsia="es-PE"/>
        </w:rPr>
        <w:t>, la desnutrición crónica</w:t>
      </w:r>
      <w:r w:rsidR="00FA1135">
        <w:rPr>
          <w:rFonts w:eastAsia="Times New Roman" w:cs="Arial"/>
          <w:color w:val="000000"/>
          <w:bdr w:val="none" w:sz="0" w:space="0" w:color="auto" w:frame="1"/>
          <w:lang w:eastAsia="es-PE"/>
        </w:rPr>
        <w:t xml:space="preserve"> en  niños menores de 5 años</w:t>
      </w:r>
      <w:r w:rsidR="00E96EAA">
        <w:rPr>
          <w:rFonts w:eastAsia="Times New Roman" w:cs="Arial"/>
          <w:color w:val="000000"/>
          <w:bdr w:val="none" w:sz="0" w:space="0" w:color="auto" w:frame="1"/>
          <w:lang w:eastAsia="es-PE"/>
        </w:rPr>
        <w:t xml:space="preserve"> alcanza al 24.9 %, la morbi</w:t>
      </w:r>
      <w:r w:rsidR="00FA1135">
        <w:rPr>
          <w:rFonts w:eastAsia="Times New Roman" w:cs="Arial"/>
          <w:color w:val="000000"/>
          <w:bdr w:val="none" w:sz="0" w:space="0" w:color="auto" w:frame="1"/>
          <w:lang w:eastAsia="es-PE"/>
        </w:rPr>
        <w:t>lidad afecta al</w:t>
      </w:r>
      <w:r w:rsidR="00E96EAA">
        <w:rPr>
          <w:rFonts w:eastAsia="Times New Roman" w:cs="Arial"/>
          <w:color w:val="000000"/>
          <w:bdr w:val="none" w:sz="0" w:space="0" w:color="auto" w:frame="1"/>
          <w:lang w:eastAsia="es-PE"/>
        </w:rPr>
        <w:t xml:space="preserve"> 68%</w:t>
      </w:r>
      <w:r w:rsidR="00FA1135">
        <w:rPr>
          <w:rFonts w:eastAsia="Times New Roman" w:cs="Arial"/>
          <w:color w:val="000000"/>
          <w:bdr w:val="none" w:sz="0" w:space="0" w:color="auto" w:frame="1"/>
          <w:lang w:eastAsia="es-PE"/>
        </w:rPr>
        <w:t xml:space="preserve"> de la población</w:t>
      </w:r>
      <w:r w:rsidR="00E96EAA">
        <w:rPr>
          <w:rFonts w:eastAsia="Times New Roman" w:cs="Arial"/>
          <w:color w:val="000000"/>
          <w:bdr w:val="none" w:sz="0" w:space="0" w:color="auto" w:frame="1"/>
          <w:lang w:eastAsia="es-PE"/>
        </w:rPr>
        <w:t xml:space="preserve"> y tenemos la  más baja cobertura de personal médico del país que alcanza a 4.7 médicos por cada 10</w:t>
      </w:r>
      <w:r w:rsidR="00572403">
        <w:rPr>
          <w:rFonts w:eastAsia="Times New Roman" w:cs="Arial"/>
          <w:color w:val="000000"/>
          <w:bdr w:val="none" w:sz="0" w:space="0" w:color="auto" w:frame="1"/>
          <w:lang w:eastAsia="es-PE"/>
        </w:rPr>
        <w:t>,</w:t>
      </w:r>
      <w:r w:rsidR="00E96EAA">
        <w:rPr>
          <w:rFonts w:eastAsia="Times New Roman" w:cs="Arial"/>
          <w:color w:val="000000"/>
          <w:bdr w:val="none" w:sz="0" w:space="0" w:color="auto" w:frame="1"/>
          <w:lang w:eastAsia="es-PE"/>
        </w:rPr>
        <w:t xml:space="preserve">000 habitantes. En educación, las personas analfabetas representan el </w:t>
      </w:r>
      <w:r w:rsidR="00AC7AEF">
        <w:rPr>
          <w:rFonts w:eastAsia="Times New Roman" w:cs="Arial"/>
          <w:color w:val="000000"/>
          <w:bdr w:val="none" w:sz="0" w:space="0" w:color="auto" w:frame="1"/>
          <w:lang w:eastAsia="es-PE"/>
        </w:rPr>
        <w:t xml:space="preserve">13.1% de la </w:t>
      </w:r>
      <w:r w:rsidR="00E96EAA">
        <w:rPr>
          <w:rFonts w:eastAsia="Times New Roman" w:cs="Arial"/>
          <w:color w:val="000000"/>
          <w:bdr w:val="none" w:sz="0" w:space="0" w:color="auto" w:frame="1"/>
          <w:lang w:eastAsia="es-PE"/>
        </w:rPr>
        <w:t>población</w:t>
      </w:r>
      <w:r w:rsidR="00AC7AEF">
        <w:rPr>
          <w:rFonts w:eastAsia="Times New Roman" w:cs="Arial"/>
          <w:color w:val="000000"/>
          <w:bdr w:val="none" w:sz="0" w:space="0" w:color="auto" w:frame="1"/>
          <w:lang w:eastAsia="es-PE"/>
        </w:rPr>
        <w:t xml:space="preserve"> de 15 a más años, el </w:t>
      </w:r>
      <w:r w:rsidR="00E96EAA">
        <w:rPr>
          <w:rFonts w:eastAsia="Times New Roman" w:cs="Arial"/>
          <w:color w:val="000000"/>
          <w:bdr w:val="none" w:sz="0" w:space="0" w:color="auto" w:frame="1"/>
          <w:lang w:eastAsia="es-PE"/>
        </w:rPr>
        <w:t xml:space="preserve"> 22.1%</w:t>
      </w:r>
      <w:r>
        <w:rPr>
          <w:rFonts w:eastAsia="Times New Roman" w:cs="Arial"/>
          <w:color w:val="000000"/>
          <w:bdr w:val="none" w:sz="0" w:space="0" w:color="auto" w:frame="1"/>
          <w:lang w:eastAsia="es-PE"/>
        </w:rPr>
        <w:t xml:space="preserve"> de los estudiantes de </w:t>
      </w:r>
      <w:r>
        <w:rPr>
          <w:rFonts w:cs="CenturyGothic"/>
        </w:rPr>
        <w:t>2do. grado</w:t>
      </w:r>
      <w:r>
        <w:rPr>
          <w:rFonts w:eastAsia="Times New Roman" w:cs="Arial"/>
          <w:color w:val="000000"/>
          <w:bdr w:val="none" w:sz="0" w:space="0" w:color="auto" w:frame="1"/>
          <w:lang w:eastAsia="es-PE"/>
        </w:rPr>
        <w:t xml:space="preserve"> de primaria y </w:t>
      </w:r>
      <w:r>
        <w:rPr>
          <w:rFonts w:cs="CenturyGothic"/>
        </w:rPr>
        <w:t>2do.</w:t>
      </w:r>
      <w:r w:rsidR="00AC7AEF">
        <w:rPr>
          <w:rFonts w:eastAsia="Times New Roman" w:cs="Arial"/>
          <w:color w:val="000000"/>
          <w:bdr w:val="none" w:sz="0" w:space="0" w:color="auto" w:frame="1"/>
          <w:lang w:eastAsia="es-PE"/>
        </w:rPr>
        <w:t xml:space="preserve"> grado de secundaria tiene</w:t>
      </w:r>
      <w:r>
        <w:rPr>
          <w:rFonts w:eastAsia="Times New Roman" w:cs="Arial"/>
          <w:color w:val="000000"/>
          <w:bdr w:val="none" w:sz="0" w:space="0" w:color="auto" w:frame="1"/>
          <w:lang w:eastAsia="es-PE"/>
        </w:rPr>
        <w:t>n</w:t>
      </w:r>
      <w:r w:rsidR="00AC7AEF">
        <w:rPr>
          <w:rFonts w:eastAsia="Times New Roman" w:cs="Arial"/>
          <w:color w:val="000000"/>
          <w:bdr w:val="none" w:sz="0" w:space="0" w:color="auto" w:frame="1"/>
          <w:lang w:eastAsia="es-PE"/>
        </w:rPr>
        <w:t xml:space="preserve"> rendimiento satisfactorio en lectura, el </w:t>
      </w:r>
      <w:r w:rsidR="00E96EAA">
        <w:rPr>
          <w:rFonts w:eastAsia="Times New Roman" w:cs="Arial"/>
          <w:color w:val="000000"/>
          <w:bdr w:val="none" w:sz="0" w:space="0" w:color="auto" w:frame="1"/>
          <w:lang w:eastAsia="es-PE"/>
        </w:rPr>
        <w:t>16.1%</w:t>
      </w:r>
      <w:r w:rsidR="00AC7AEF">
        <w:rPr>
          <w:rFonts w:eastAsia="Times New Roman" w:cs="Arial"/>
          <w:color w:val="000000"/>
          <w:bdr w:val="none" w:sz="0" w:space="0" w:color="auto" w:frame="1"/>
          <w:lang w:eastAsia="es-PE"/>
        </w:rPr>
        <w:t xml:space="preserve"> </w:t>
      </w:r>
      <w:r w:rsidR="00AC7AEF" w:rsidRPr="00AC7AEF">
        <w:rPr>
          <w:rFonts w:cs="CenturyGothic"/>
        </w:rPr>
        <w:t xml:space="preserve"> de los estudiantes de 2do</w:t>
      </w:r>
      <w:r>
        <w:rPr>
          <w:rFonts w:cs="CenturyGothic"/>
        </w:rPr>
        <w:t>.</w:t>
      </w:r>
      <w:r w:rsidR="00AC7AEF">
        <w:rPr>
          <w:rFonts w:cs="CenturyGothic"/>
        </w:rPr>
        <w:t xml:space="preserve"> </w:t>
      </w:r>
      <w:r w:rsidR="00AC7AEF" w:rsidRPr="00AC7AEF">
        <w:rPr>
          <w:rFonts w:cs="CenturyGothic"/>
        </w:rPr>
        <w:t>g</w:t>
      </w:r>
      <w:r w:rsidR="00AC7AEF">
        <w:rPr>
          <w:rFonts w:cs="CenturyGothic"/>
        </w:rPr>
        <w:t>rado de primaria y 2do grado de secundaria tienen</w:t>
      </w:r>
      <w:r w:rsidR="00AC7AEF" w:rsidRPr="00AC7AEF">
        <w:rPr>
          <w:rFonts w:cs="CenturyGothic"/>
        </w:rPr>
        <w:t xml:space="preserve"> rendimiento satisfactorio</w:t>
      </w:r>
      <w:r w:rsidR="00AC7AEF">
        <w:rPr>
          <w:rFonts w:cs="CenturyGothic"/>
        </w:rPr>
        <w:t xml:space="preserve"> </w:t>
      </w:r>
      <w:r w:rsidR="00AC7AEF" w:rsidRPr="00AC7AEF">
        <w:rPr>
          <w:rFonts w:cs="CenturyGothic"/>
        </w:rPr>
        <w:t>en matemáticas</w:t>
      </w:r>
      <w:r w:rsidR="00200708">
        <w:rPr>
          <w:rFonts w:eastAsia="Times New Roman" w:cs="Arial"/>
          <w:color w:val="000000"/>
          <w:bdr w:val="none" w:sz="0" w:space="0" w:color="auto" w:frame="1"/>
          <w:lang w:eastAsia="es-PE"/>
        </w:rPr>
        <w:t xml:space="preserve"> y solo el 16.2% de colegios tienen acceso a internet. </w:t>
      </w:r>
      <w:r w:rsidR="00E96EAA">
        <w:rPr>
          <w:rFonts w:eastAsia="Times New Roman" w:cs="Arial"/>
          <w:color w:val="000000"/>
          <w:bdr w:val="none" w:sz="0" w:space="0" w:color="auto" w:frame="1"/>
          <w:lang w:eastAsia="es-PE"/>
        </w:rPr>
        <w:t xml:space="preserve">  </w:t>
      </w:r>
      <w:r w:rsidR="00FA1135">
        <w:rPr>
          <w:rFonts w:eastAsia="Times New Roman" w:cs="Arial"/>
          <w:color w:val="000000"/>
          <w:bdr w:val="none" w:sz="0" w:space="0" w:color="auto" w:frame="1"/>
          <w:lang w:eastAsia="es-PE"/>
        </w:rPr>
        <w:t xml:space="preserve">En acceso a servicios, el 85.4% de la población tiene acceso a electricidad, el 70.6% a servicios de agua y </w:t>
      </w:r>
      <w:r w:rsidR="00260410">
        <w:rPr>
          <w:rFonts w:eastAsia="Times New Roman" w:cs="Arial"/>
          <w:color w:val="000000"/>
          <w:bdr w:val="none" w:sz="0" w:space="0" w:color="auto" w:frame="1"/>
          <w:lang w:eastAsia="es-PE"/>
        </w:rPr>
        <w:t xml:space="preserve">el 43.6% a servicios de </w:t>
      </w:r>
      <w:r w:rsidR="00260410">
        <w:rPr>
          <w:rFonts w:ascii="Arial" w:hAnsi="Arial" w:cs="Arial"/>
          <w:color w:val="222222"/>
          <w:sz w:val="21"/>
          <w:szCs w:val="21"/>
          <w:shd w:val="clear" w:color="auto" w:fill="FFFFFF"/>
        </w:rPr>
        <w:t>desagüe</w:t>
      </w:r>
      <w:r w:rsidR="00FA1135">
        <w:rPr>
          <w:rFonts w:eastAsia="Times New Roman" w:cs="Arial"/>
          <w:color w:val="000000"/>
          <w:bdr w:val="none" w:sz="0" w:space="0" w:color="auto" w:frame="1"/>
          <w:lang w:eastAsia="es-PE"/>
        </w:rPr>
        <w:t>.</w:t>
      </w:r>
    </w:p>
    <w:p w14:paraId="171AF037" w14:textId="77777777" w:rsidR="00E96EAA" w:rsidRDefault="00E96EAA" w:rsidP="00855534">
      <w:pPr>
        <w:shd w:val="clear" w:color="auto" w:fill="FFFFFF"/>
        <w:spacing w:after="0" w:line="360" w:lineRule="auto"/>
        <w:jc w:val="both"/>
        <w:rPr>
          <w:rFonts w:eastAsia="Times New Roman" w:cs="Arial"/>
          <w:color w:val="000000"/>
          <w:bdr w:val="none" w:sz="0" w:space="0" w:color="auto" w:frame="1"/>
          <w:lang w:eastAsia="es-PE"/>
        </w:rPr>
      </w:pPr>
    </w:p>
    <w:p w14:paraId="7F7E335C" w14:textId="77777777" w:rsidR="0083424E" w:rsidRDefault="0083424E" w:rsidP="00855534">
      <w:pPr>
        <w:shd w:val="clear" w:color="auto" w:fill="FFFFFF"/>
        <w:spacing w:after="0" w:line="360" w:lineRule="auto"/>
        <w:jc w:val="both"/>
        <w:rPr>
          <w:rFonts w:eastAsia="Times New Roman" w:cs="Arial"/>
          <w:color w:val="000000"/>
          <w:lang w:eastAsia="es-PE"/>
        </w:rPr>
      </w:pPr>
      <w:r w:rsidRPr="008B5F29">
        <w:rPr>
          <w:rFonts w:eastAsia="Times New Roman" w:cs="Arial"/>
          <w:color w:val="000000"/>
          <w:bdr w:val="none" w:sz="0" w:space="0" w:color="auto" w:frame="1"/>
          <w:lang w:eastAsia="es-PE"/>
        </w:rPr>
        <w:lastRenderedPageBreak/>
        <w:t xml:space="preserve">En el plano económico,   de acuerdo al índice de Competitividad Regional 2016 (INCORE)  la Región Cajamarca  se ubica en el último puesto del </w:t>
      </w:r>
      <w:r w:rsidR="006C53B1" w:rsidRPr="008B5F29">
        <w:rPr>
          <w:rFonts w:eastAsia="Times New Roman" w:cs="Arial"/>
          <w:color w:val="000000"/>
          <w:bdr w:val="none" w:sz="0" w:space="0" w:color="auto" w:frame="1"/>
          <w:lang w:eastAsia="es-PE"/>
        </w:rPr>
        <w:t>Rankin</w:t>
      </w:r>
      <w:r w:rsidRPr="008B5F29">
        <w:rPr>
          <w:rFonts w:eastAsia="Times New Roman" w:cs="Arial"/>
          <w:color w:val="000000"/>
          <w:bdr w:val="none" w:sz="0" w:space="0" w:color="auto" w:frame="1"/>
          <w:lang w:eastAsia="es-PE"/>
        </w:rPr>
        <w:t xml:space="preserve"> de 24 Regiones.  Al respecto</w:t>
      </w:r>
      <w:r w:rsidR="009F1BF7">
        <w:rPr>
          <w:rFonts w:eastAsia="Times New Roman" w:cs="Arial"/>
          <w:color w:val="000000"/>
          <w:bdr w:val="none" w:sz="0" w:space="0" w:color="auto" w:frame="1"/>
          <w:lang w:eastAsia="es-PE"/>
        </w:rPr>
        <w:t>,</w:t>
      </w:r>
      <w:r w:rsidRPr="008B5F29">
        <w:rPr>
          <w:rFonts w:eastAsia="Times New Roman" w:cs="Arial"/>
          <w:color w:val="000000"/>
          <w:bdr w:val="none" w:sz="0" w:space="0" w:color="auto" w:frame="1"/>
          <w:lang w:eastAsia="es-PE"/>
        </w:rPr>
        <w:t xml:space="preserve">  el Instituto Peruano de Economía (2016)</w:t>
      </w:r>
      <w:r w:rsidR="009F1BF7">
        <w:rPr>
          <w:rFonts w:eastAsia="Times New Roman" w:cs="Arial"/>
          <w:color w:val="000000"/>
          <w:bdr w:val="none" w:sz="0" w:space="0" w:color="auto" w:frame="1"/>
          <w:lang w:eastAsia="es-PE"/>
        </w:rPr>
        <w:t>, considera que</w:t>
      </w:r>
      <w:r w:rsidRPr="008B5F29">
        <w:rPr>
          <w:rFonts w:eastAsia="Times New Roman" w:cs="Arial"/>
          <w:color w:val="000000"/>
          <w:bdr w:val="none" w:sz="0" w:space="0" w:color="auto" w:frame="1"/>
          <w:lang w:eastAsia="es-PE"/>
        </w:rPr>
        <w:t xml:space="preserve">  Cajamarca  en el 2016, retrocedió un puesto y es la región menos competitiva del país. En los seis pilares</w:t>
      </w:r>
      <w:r w:rsidR="002C7CE2">
        <w:rPr>
          <w:rFonts w:eastAsia="Times New Roman" w:cs="Arial"/>
          <w:color w:val="000000"/>
          <w:bdr w:val="none" w:sz="0" w:space="0" w:color="auto" w:frame="1"/>
          <w:lang w:eastAsia="es-PE"/>
        </w:rPr>
        <w:t xml:space="preserve"> del INCORE</w:t>
      </w:r>
      <w:r w:rsidRPr="008B5F29">
        <w:rPr>
          <w:rFonts w:eastAsia="Times New Roman" w:cs="Arial"/>
          <w:color w:val="000000"/>
          <w:bdr w:val="none" w:sz="0" w:space="0" w:color="auto" w:frame="1"/>
          <w:lang w:eastAsia="es-PE"/>
        </w:rPr>
        <w:t xml:space="preserve"> la región </w:t>
      </w:r>
      <w:r w:rsidR="001349C7">
        <w:rPr>
          <w:rFonts w:eastAsia="Times New Roman" w:cs="Arial"/>
          <w:color w:val="000000"/>
          <w:bdr w:val="none" w:sz="0" w:space="0" w:color="auto" w:frame="1"/>
          <w:lang w:eastAsia="es-PE"/>
        </w:rPr>
        <w:t>se  ubica en el último tercio, a</w:t>
      </w:r>
      <w:r w:rsidRPr="008B5F29">
        <w:rPr>
          <w:rFonts w:eastAsia="Times New Roman" w:cs="Arial"/>
          <w:color w:val="000000"/>
          <w:bdr w:val="none" w:sz="0" w:space="0" w:color="auto" w:frame="1"/>
          <w:lang w:eastAsia="es-PE"/>
        </w:rPr>
        <w:t>demás, en 14 de los 46 indicadores se ubica entre los tres últimos lugares. El retroceso se explica, principalmente, por una caída de 18 pu</w:t>
      </w:r>
      <w:r w:rsidR="001349C7">
        <w:rPr>
          <w:rFonts w:eastAsia="Times New Roman" w:cs="Arial"/>
          <w:color w:val="000000"/>
          <w:bdr w:val="none" w:sz="0" w:space="0" w:color="auto" w:frame="1"/>
          <w:lang w:eastAsia="es-PE"/>
        </w:rPr>
        <w:t>estos en el pilar Instituciones,</w:t>
      </w:r>
      <w:r w:rsidR="00F03860">
        <w:rPr>
          <w:rFonts w:eastAsia="Times New Roman" w:cs="Arial"/>
          <w:color w:val="000000"/>
          <w:bdr w:val="none" w:sz="0" w:space="0" w:color="auto" w:frame="1"/>
          <w:lang w:eastAsia="es-PE"/>
        </w:rPr>
        <w:t xml:space="preserve"> e</w:t>
      </w:r>
      <w:r w:rsidRPr="008B5F29">
        <w:rPr>
          <w:rFonts w:eastAsia="Times New Roman" w:cs="Arial"/>
          <w:color w:val="000000"/>
          <w:bdr w:val="none" w:sz="0" w:space="0" w:color="auto" w:frame="1"/>
          <w:lang w:eastAsia="es-PE"/>
        </w:rPr>
        <w:t>sta se debe al retroceso de 16 y 5 posiciones en los indicadores fondos públicos no concursados y ejecución de la</w:t>
      </w:r>
      <w:r w:rsidRPr="008B5F29">
        <w:rPr>
          <w:rFonts w:eastAsia="Times New Roman" w:cs="Arial"/>
          <w:color w:val="000000"/>
          <w:lang w:eastAsia="es-PE"/>
        </w:rPr>
        <w:t xml:space="preserve"> </w:t>
      </w:r>
      <w:r w:rsidRPr="008B5F29">
        <w:rPr>
          <w:rFonts w:eastAsia="Times New Roman" w:cs="Arial"/>
          <w:color w:val="000000"/>
          <w:bdr w:val="none" w:sz="0" w:space="0" w:color="auto" w:frame="1"/>
          <w:lang w:eastAsia="es-PE"/>
        </w:rPr>
        <w:t>inversión pública.</w:t>
      </w:r>
    </w:p>
    <w:p w14:paraId="27855845" w14:textId="77777777" w:rsidR="00855534" w:rsidRPr="00855534" w:rsidRDefault="00855534" w:rsidP="00855534">
      <w:pPr>
        <w:shd w:val="clear" w:color="auto" w:fill="FFFFFF"/>
        <w:spacing w:after="0" w:line="360" w:lineRule="auto"/>
        <w:jc w:val="both"/>
        <w:rPr>
          <w:rFonts w:eastAsia="Times New Roman" w:cs="Arial"/>
          <w:color w:val="000000"/>
          <w:lang w:eastAsia="es-PE"/>
        </w:rPr>
      </w:pPr>
    </w:p>
    <w:p w14:paraId="41980EAE" w14:textId="77777777" w:rsidR="00EB42D0" w:rsidRPr="008B5F29" w:rsidRDefault="00DB5765" w:rsidP="008B5F29">
      <w:pPr>
        <w:spacing w:line="360" w:lineRule="auto"/>
        <w:jc w:val="both"/>
        <w:rPr>
          <w:b/>
        </w:rPr>
      </w:pPr>
      <w:r w:rsidRPr="008B5F29">
        <w:rPr>
          <w:b/>
        </w:rPr>
        <w:t>Brechas de Inversión Regional.</w:t>
      </w:r>
    </w:p>
    <w:p w14:paraId="01780B39" w14:textId="77777777" w:rsidR="00732A09" w:rsidRDefault="00732A09" w:rsidP="008B5F29">
      <w:pPr>
        <w:shd w:val="clear" w:color="auto" w:fill="FFFFFF"/>
        <w:spacing w:after="0" w:line="360" w:lineRule="auto"/>
        <w:jc w:val="both"/>
        <w:rPr>
          <w:rFonts w:eastAsia="Times New Roman" w:cs="Arial"/>
          <w:color w:val="000000"/>
          <w:lang w:eastAsia="es-PE"/>
        </w:rPr>
      </w:pPr>
      <w:r w:rsidRPr="008B5F29">
        <w:rPr>
          <w:rFonts w:eastAsia="Times New Roman" w:cs="Times New Roman"/>
          <w:color w:val="231F20"/>
          <w:bdr w:val="none" w:sz="0" w:space="0" w:color="auto" w:frame="1"/>
          <w:lang w:eastAsia="es-PE"/>
        </w:rPr>
        <w:t>Uno de los principales desafíos del país para alcanzar la prosperidad es desarrollar</w:t>
      </w:r>
      <w:r>
        <w:rPr>
          <w:rFonts w:eastAsia="Times New Roman" w:cs="Arial"/>
          <w:color w:val="000000"/>
          <w:lang w:eastAsia="es-PE"/>
        </w:rPr>
        <w:t xml:space="preserve"> </w:t>
      </w:r>
      <w:r w:rsidRPr="008B5F29">
        <w:rPr>
          <w:rFonts w:eastAsia="Times New Roman" w:cs="Times New Roman"/>
          <w:color w:val="231F20"/>
          <w:bdr w:val="none" w:sz="0" w:space="0" w:color="auto" w:frame="1"/>
          <w:lang w:eastAsia="es-PE"/>
        </w:rPr>
        <w:t>su infraestructura, cuyo rol en la sociedad se encuentra ligado al crecimiento económico y</w:t>
      </w:r>
      <w:r>
        <w:rPr>
          <w:rFonts w:eastAsia="Times New Roman" w:cs="Times New Roman"/>
          <w:color w:val="231F20"/>
          <w:bdr w:val="none" w:sz="0" w:space="0" w:color="auto" w:frame="1"/>
          <w:lang w:eastAsia="es-PE"/>
        </w:rPr>
        <w:t xml:space="preserve"> </w:t>
      </w:r>
      <w:r w:rsidRPr="008B5F29">
        <w:rPr>
          <w:rFonts w:eastAsia="Times New Roman" w:cs="Times New Roman"/>
          <w:color w:val="231F20"/>
          <w:bdr w:val="none" w:sz="0" w:space="0" w:color="auto" w:frame="1"/>
          <w:lang w:eastAsia="es-PE"/>
        </w:rPr>
        <w:t>al desarrollo social. Actualmente, en lo que se re</w:t>
      </w:r>
      <w:r>
        <w:rPr>
          <w:rFonts w:eastAsia="Times New Roman" w:cs="Times New Roman"/>
          <w:color w:val="231F20"/>
          <w:bdr w:val="none" w:sz="0" w:space="0" w:color="auto" w:frame="1"/>
          <w:lang w:eastAsia="es-PE"/>
        </w:rPr>
        <w:t>fi</w:t>
      </w:r>
      <w:r w:rsidRPr="008B5F29">
        <w:rPr>
          <w:rFonts w:eastAsia="Times New Roman" w:cs="Times New Roman"/>
          <w:color w:val="231F20"/>
          <w:bdr w:val="none" w:sz="0" w:space="0" w:color="auto" w:frame="1"/>
          <w:lang w:eastAsia="es-PE"/>
        </w:rPr>
        <w:t xml:space="preserve">ere a infraestructura, </w:t>
      </w:r>
      <w:r w:rsidR="006C53B1">
        <w:rPr>
          <w:rFonts w:eastAsia="Times New Roman" w:cs="Times New Roman"/>
          <w:color w:val="231F20"/>
          <w:bdr w:val="none" w:sz="0" w:space="0" w:color="auto" w:frame="1"/>
          <w:lang w:eastAsia="es-PE"/>
        </w:rPr>
        <w:t xml:space="preserve"> </w:t>
      </w:r>
      <w:r w:rsidR="006C53B1" w:rsidRPr="006C53B1">
        <w:rPr>
          <w:rFonts w:eastAsia="Times New Roman" w:cs="Times New Roman"/>
          <w:i/>
          <w:color w:val="231F20"/>
          <w:bdr w:val="none" w:sz="0" w:space="0" w:color="auto" w:frame="1"/>
          <w:lang w:eastAsia="es-PE"/>
        </w:rPr>
        <w:t>“</w:t>
      </w:r>
      <w:r w:rsidR="005B118F">
        <w:rPr>
          <w:rFonts w:eastAsia="Times New Roman" w:cs="Times New Roman"/>
          <w:i/>
          <w:color w:val="231F20"/>
          <w:bdr w:val="none" w:sz="0" w:space="0" w:color="auto" w:frame="1"/>
          <w:lang w:eastAsia="es-PE"/>
        </w:rPr>
        <w:t>E</w:t>
      </w:r>
      <w:r w:rsidRPr="006C53B1">
        <w:rPr>
          <w:rFonts w:eastAsia="Times New Roman" w:cs="Times New Roman"/>
          <w:i/>
          <w:color w:val="231F20"/>
          <w:bdr w:val="none" w:sz="0" w:space="0" w:color="auto" w:frame="1"/>
          <w:lang w:eastAsia="es-PE"/>
        </w:rPr>
        <w:t>l país se posiciona</w:t>
      </w:r>
      <w:r w:rsidRPr="006C53B1">
        <w:rPr>
          <w:rFonts w:eastAsia="Times New Roman" w:cs="Arial"/>
          <w:i/>
          <w:color w:val="000000"/>
          <w:lang w:eastAsia="es-PE"/>
        </w:rPr>
        <w:t xml:space="preserve"> </w:t>
      </w:r>
      <w:r w:rsidRPr="006C53B1">
        <w:rPr>
          <w:rFonts w:eastAsia="Times New Roman" w:cs="Times New Roman"/>
          <w:i/>
          <w:color w:val="231F20"/>
          <w:bdr w:val="none" w:sz="0" w:space="0" w:color="auto" w:frame="1"/>
          <w:lang w:eastAsia="es-PE"/>
        </w:rPr>
        <w:t>en el puesto 89 de 144 países según el ranking del Informe de Competitividad Global 2015-</w:t>
      </w:r>
      <w:r w:rsidRPr="006C53B1">
        <w:rPr>
          <w:rFonts w:eastAsia="Times New Roman" w:cs="Arial"/>
          <w:i/>
          <w:color w:val="000000"/>
          <w:lang w:eastAsia="es-PE"/>
        </w:rPr>
        <w:t xml:space="preserve"> </w:t>
      </w:r>
      <w:r w:rsidRPr="006C53B1">
        <w:rPr>
          <w:rFonts w:eastAsia="Times New Roman" w:cs="Times New Roman"/>
          <w:i/>
          <w:color w:val="231F20"/>
          <w:bdr w:val="none" w:sz="0" w:space="0" w:color="auto" w:frame="1"/>
          <w:lang w:eastAsia="es-PE"/>
        </w:rPr>
        <w:t>2016 del</w:t>
      </w:r>
      <w:r w:rsidRPr="006C53B1">
        <w:rPr>
          <w:rFonts w:eastAsia="Times New Roman" w:cs="Arial"/>
          <w:i/>
          <w:color w:val="000000"/>
          <w:lang w:eastAsia="es-PE"/>
        </w:rPr>
        <w:t xml:space="preserve"> </w:t>
      </w:r>
      <w:r w:rsidRPr="006C53B1">
        <w:rPr>
          <w:rFonts w:eastAsia="Times New Roman" w:cs="Times New Roman"/>
          <w:i/>
          <w:iCs/>
          <w:color w:val="231F20"/>
          <w:spacing w:val="-15"/>
          <w:bdr w:val="none" w:sz="0" w:space="0" w:color="auto" w:frame="1"/>
          <w:lang w:eastAsia="es-PE"/>
        </w:rPr>
        <w:t xml:space="preserve">World Economic </w:t>
      </w:r>
      <w:r w:rsidR="006C53B1" w:rsidRPr="006C53B1">
        <w:rPr>
          <w:rFonts w:eastAsia="Times New Roman" w:cs="Times New Roman"/>
          <w:i/>
          <w:iCs/>
          <w:color w:val="231F20"/>
          <w:spacing w:val="-15"/>
          <w:bdr w:val="none" w:sz="0" w:space="0" w:color="auto" w:frame="1"/>
          <w:lang w:eastAsia="es-PE"/>
        </w:rPr>
        <w:t>Fórum”</w:t>
      </w:r>
      <w:r w:rsidRPr="00C32BCE">
        <w:rPr>
          <w:rFonts w:eastAsia="Times New Roman" w:cs="Times New Roman"/>
          <w:i/>
          <w:iCs/>
          <w:color w:val="231F20"/>
          <w:spacing w:val="-15"/>
          <w:bdr w:val="none" w:sz="0" w:space="0" w:color="auto" w:frame="1"/>
          <w:lang w:eastAsia="es-PE"/>
        </w:rPr>
        <w:t>.</w:t>
      </w:r>
      <w:r w:rsidRPr="008B5F29">
        <w:rPr>
          <w:rFonts w:eastAsia="Times New Roman" w:cs="Times New Roman"/>
          <w:i/>
          <w:iCs/>
          <w:color w:val="231F20"/>
          <w:spacing w:val="-15"/>
          <w:bdr w:val="none" w:sz="0" w:space="0" w:color="auto" w:frame="1"/>
          <w:lang w:eastAsia="es-PE"/>
        </w:rPr>
        <w:t xml:space="preserve"> </w:t>
      </w:r>
      <w:r w:rsidRPr="008B5F29">
        <w:rPr>
          <w:rFonts w:eastAsia="Times New Roman" w:cs="Times New Roman"/>
          <w:iCs/>
          <w:color w:val="231F20"/>
          <w:spacing w:val="-15"/>
          <w:bdr w:val="none" w:sz="0" w:space="0" w:color="auto" w:frame="1"/>
          <w:lang w:eastAsia="es-PE"/>
        </w:rPr>
        <w:t>(</w:t>
      </w:r>
      <w:r w:rsidR="003708FA">
        <w:rPr>
          <w:rFonts w:eastAsia="Times New Roman" w:cs="Times New Roman"/>
          <w:color w:val="231F20"/>
          <w:bdr w:val="none" w:sz="0" w:space="0" w:color="auto" w:frame="1"/>
          <w:lang w:eastAsia="es-PE"/>
        </w:rPr>
        <w:t>Escuela de Gestión Pública de la Universidad del Pacífico</w:t>
      </w:r>
      <w:r w:rsidR="006C53B1" w:rsidRPr="008B5F29">
        <w:rPr>
          <w:rFonts w:eastAsia="Times New Roman" w:cs="Times New Roman"/>
          <w:iCs/>
          <w:color w:val="231F20"/>
          <w:spacing w:val="-15"/>
          <w:bdr w:val="none" w:sz="0" w:space="0" w:color="auto" w:frame="1"/>
          <w:lang w:eastAsia="es-PE"/>
        </w:rPr>
        <w:t>:</w:t>
      </w:r>
      <w:r w:rsidRPr="008B5F29">
        <w:rPr>
          <w:rFonts w:eastAsia="Times New Roman" w:cs="Times New Roman"/>
          <w:iCs/>
          <w:color w:val="231F20"/>
          <w:spacing w:val="-15"/>
          <w:bdr w:val="none" w:sz="0" w:space="0" w:color="auto" w:frame="1"/>
          <w:lang w:eastAsia="es-PE"/>
        </w:rPr>
        <w:t xml:space="preserve"> 226)</w:t>
      </w:r>
    </w:p>
    <w:p w14:paraId="75532D4C" w14:textId="77777777" w:rsidR="00732A09" w:rsidRPr="00732A09" w:rsidRDefault="00732A09" w:rsidP="008B5F29">
      <w:pPr>
        <w:shd w:val="clear" w:color="auto" w:fill="FFFFFF"/>
        <w:spacing w:after="0" w:line="360" w:lineRule="auto"/>
        <w:jc w:val="both"/>
        <w:rPr>
          <w:rFonts w:eastAsia="Times New Roman" w:cs="Arial"/>
          <w:color w:val="000000"/>
          <w:lang w:eastAsia="es-PE"/>
        </w:rPr>
      </w:pPr>
    </w:p>
    <w:p w14:paraId="12FDA12B" w14:textId="77777777" w:rsidR="00357740" w:rsidRDefault="00EE45B5" w:rsidP="008B5F29">
      <w:pPr>
        <w:shd w:val="clear" w:color="auto" w:fill="FFFFFF"/>
        <w:spacing w:after="0" w:line="360" w:lineRule="auto"/>
        <w:jc w:val="both"/>
        <w:rPr>
          <w:rFonts w:eastAsia="Times New Roman" w:cs="Times New Roman"/>
          <w:color w:val="231F20"/>
          <w:bdr w:val="none" w:sz="0" w:space="0" w:color="auto" w:frame="1"/>
          <w:lang w:eastAsia="es-PE"/>
        </w:rPr>
      </w:pPr>
      <w:r>
        <w:rPr>
          <w:rFonts w:eastAsia="Times New Roman" w:cs="Times New Roman"/>
          <w:color w:val="231F20"/>
          <w:bdr w:val="none" w:sz="0" w:space="0" w:color="auto" w:frame="1"/>
          <w:lang w:eastAsia="es-PE"/>
        </w:rPr>
        <w:t xml:space="preserve">En el </w:t>
      </w:r>
      <w:r w:rsidR="00357740" w:rsidRPr="008B5F29">
        <w:rPr>
          <w:rFonts w:eastAsia="Times New Roman" w:cs="Times New Roman"/>
          <w:color w:val="231F20"/>
          <w:bdr w:val="none" w:sz="0" w:space="0" w:color="auto" w:frame="1"/>
          <w:lang w:eastAsia="es-PE"/>
        </w:rPr>
        <w:t> análisis de la brecha horizontal </w:t>
      </w:r>
      <w:r>
        <w:rPr>
          <w:rFonts w:eastAsia="Times New Roman" w:cs="Times New Roman"/>
          <w:color w:val="231F20"/>
          <w:bdr w:val="none" w:sz="0" w:space="0" w:color="auto" w:frame="1"/>
          <w:lang w:eastAsia="es-PE"/>
        </w:rPr>
        <w:t xml:space="preserve"> efectu</w:t>
      </w:r>
      <w:r w:rsidR="003708FA">
        <w:rPr>
          <w:rFonts w:eastAsia="Times New Roman" w:cs="Times New Roman"/>
          <w:color w:val="231F20"/>
          <w:bdr w:val="none" w:sz="0" w:space="0" w:color="auto" w:frame="1"/>
          <w:lang w:eastAsia="es-PE"/>
        </w:rPr>
        <w:t>ado por la Escuela de Gestión Pública</w:t>
      </w:r>
      <w:r>
        <w:rPr>
          <w:rFonts w:eastAsia="Times New Roman" w:cs="Times New Roman"/>
          <w:color w:val="231F20"/>
          <w:bdr w:val="none" w:sz="0" w:space="0" w:color="auto" w:frame="1"/>
          <w:lang w:eastAsia="es-PE"/>
        </w:rPr>
        <w:t xml:space="preserve"> de la Universidad del Pacífico (</w:t>
      </w:r>
      <w:r w:rsidR="00207BCC" w:rsidRPr="006C53B1">
        <w:rPr>
          <w:rFonts w:eastAsia="Times New Roman" w:cs="Times New Roman"/>
          <w:bdr w:val="none" w:sz="0" w:space="0" w:color="auto" w:frame="1"/>
          <w:lang w:eastAsia="es-PE"/>
        </w:rPr>
        <w:t>2015</w:t>
      </w:r>
      <w:r>
        <w:rPr>
          <w:rFonts w:eastAsia="Times New Roman" w:cs="Times New Roman"/>
          <w:color w:val="231F20"/>
          <w:bdr w:val="none" w:sz="0" w:space="0" w:color="auto" w:frame="1"/>
          <w:lang w:eastAsia="es-PE"/>
        </w:rPr>
        <w:t>) se concluye</w:t>
      </w:r>
      <w:r w:rsidR="00357740" w:rsidRPr="008B5F29">
        <w:rPr>
          <w:rFonts w:eastAsia="Times New Roman" w:cs="Times New Roman"/>
          <w:color w:val="231F20"/>
          <w:bdr w:val="none" w:sz="0" w:space="0" w:color="auto" w:frame="1"/>
          <w:lang w:eastAsia="es-PE"/>
        </w:rPr>
        <w:t> que</w:t>
      </w:r>
      <w:r w:rsidR="005B118F">
        <w:rPr>
          <w:rFonts w:eastAsia="Times New Roman" w:cs="Times New Roman"/>
          <w:color w:val="231F20"/>
          <w:bdr w:val="none" w:sz="0" w:space="0" w:color="auto" w:frame="1"/>
          <w:lang w:eastAsia="es-PE"/>
        </w:rPr>
        <w:t>,</w:t>
      </w:r>
      <w:r w:rsidR="00357740" w:rsidRPr="008B5F29">
        <w:rPr>
          <w:rFonts w:eastAsia="Times New Roman" w:cs="Times New Roman"/>
          <w:color w:val="231F20"/>
          <w:bdr w:val="none" w:sz="0" w:space="0" w:color="auto" w:frame="1"/>
          <w:lang w:eastAsia="es-PE"/>
        </w:rPr>
        <w:t> estamos aún lejos</w:t>
      </w:r>
      <w:r w:rsidR="00895960">
        <w:rPr>
          <w:rFonts w:eastAsia="Times New Roman" w:cs="Arial"/>
          <w:color w:val="000000"/>
          <w:lang w:eastAsia="es-PE"/>
        </w:rPr>
        <w:t xml:space="preserve"> </w:t>
      </w:r>
      <w:r w:rsidR="00357740" w:rsidRPr="008B5F29">
        <w:rPr>
          <w:rFonts w:eastAsia="Times New Roman" w:cs="Times New Roman"/>
          <w:color w:val="231F20"/>
          <w:bdr w:val="none" w:sz="0" w:space="0" w:color="auto" w:frame="1"/>
          <w:lang w:eastAsia="es-PE"/>
        </w:rPr>
        <w:t>de los niveles de infraestructura a los que deberíamos apun</w:t>
      </w:r>
      <w:r>
        <w:rPr>
          <w:rFonts w:eastAsia="Times New Roman" w:cs="Times New Roman"/>
          <w:color w:val="231F20"/>
          <w:bdr w:val="none" w:sz="0" w:space="0" w:color="auto" w:frame="1"/>
          <w:lang w:eastAsia="es-PE"/>
        </w:rPr>
        <w:t>tar como país para poder liderar</w:t>
      </w:r>
      <w:r w:rsidR="00357740" w:rsidRPr="008B5F29">
        <w:rPr>
          <w:rFonts w:eastAsia="Times New Roman" w:cs="Times New Roman"/>
          <w:color w:val="231F20"/>
          <w:bdr w:val="none" w:sz="0" w:space="0" w:color="auto" w:frame="1"/>
          <w:lang w:eastAsia="es-PE"/>
        </w:rPr>
        <w:t>, en la región y competir con las mejores economías del mundo. Sin embargo,</w:t>
      </w:r>
      <w:r w:rsidR="00645F7A" w:rsidRPr="008B5F29">
        <w:rPr>
          <w:rFonts w:eastAsia="Times New Roman" w:cs="Times New Roman"/>
          <w:color w:val="231F20"/>
          <w:bdr w:val="none" w:sz="0" w:space="0" w:color="auto" w:frame="1"/>
          <w:lang w:eastAsia="es-PE"/>
        </w:rPr>
        <w:t xml:space="preserve"> </w:t>
      </w:r>
      <w:r w:rsidR="00357740" w:rsidRPr="008B5F29">
        <w:rPr>
          <w:rFonts w:eastAsia="Times New Roman" w:cs="Times New Roman"/>
          <w:color w:val="231F20"/>
          <w:bdr w:val="none" w:sz="0" w:space="0" w:color="auto" w:frame="1"/>
          <w:lang w:eastAsia="es-PE"/>
        </w:rPr>
        <w:t xml:space="preserve">es posible </w:t>
      </w:r>
      <w:r>
        <w:rPr>
          <w:rFonts w:eastAsia="Times New Roman" w:cs="Times New Roman"/>
          <w:color w:val="231F20"/>
          <w:bdr w:val="none" w:sz="0" w:space="0" w:color="auto" w:frame="1"/>
          <w:lang w:eastAsia="es-PE"/>
        </w:rPr>
        <w:t xml:space="preserve"> avanzar </w:t>
      </w:r>
      <w:r w:rsidR="00357740" w:rsidRPr="008B5F29">
        <w:rPr>
          <w:rFonts w:eastAsia="Times New Roman" w:cs="Times New Roman"/>
          <w:color w:val="231F20"/>
          <w:bdr w:val="none" w:sz="0" w:space="0" w:color="auto" w:frame="1"/>
          <w:lang w:eastAsia="es-PE"/>
        </w:rPr>
        <w:t>mediante el esquema de inver</w:t>
      </w:r>
      <w:r>
        <w:rPr>
          <w:rFonts w:eastAsia="Times New Roman" w:cs="Times New Roman"/>
          <w:color w:val="231F20"/>
          <w:bdr w:val="none" w:sz="0" w:space="0" w:color="auto" w:frame="1"/>
          <w:lang w:eastAsia="es-PE"/>
        </w:rPr>
        <w:t>sión que proponen y</w:t>
      </w:r>
      <w:r w:rsidR="00645F7A" w:rsidRPr="008B5F29">
        <w:rPr>
          <w:rFonts w:eastAsia="Times New Roman" w:cs="Times New Roman"/>
          <w:color w:val="231F20"/>
          <w:bdr w:val="none" w:sz="0" w:space="0" w:color="auto" w:frame="1"/>
          <w:lang w:eastAsia="es-PE"/>
        </w:rPr>
        <w:t xml:space="preserve"> subsanar este défi</w:t>
      </w:r>
      <w:r>
        <w:rPr>
          <w:rFonts w:eastAsia="Times New Roman" w:cs="Times New Roman"/>
          <w:color w:val="231F20"/>
          <w:bdr w:val="none" w:sz="0" w:space="0" w:color="auto" w:frame="1"/>
          <w:lang w:eastAsia="es-PE"/>
        </w:rPr>
        <w:t>cit con la finalidad de</w:t>
      </w:r>
      <w:r w:rsidR="00357740" w:rsidRPr="008B5F29">
        <w:rPr>
          <w:rFonts w:eastAsia="Times New Roman" w:cs="Times New Roman"/>
          <w:color w:val="231F20"/>
          <w:bdr w:val="none" w:sz="0" w:space="0" w:color="auto" w:frame="1"/>
          <w:lang w:eastAsia="es-PE"/>
        </w:rPr>
        <w:t xml:space="preserve"> alcanzar el</w:t>
      </w:r>
      <w:r w:rsidR="00645F7A" w:rsidRPr="008B5F29">
        <w:rPr>
          <w:rFonts w:eastAsia="Times New Roman" w:cs="Times New Roman"/>
          <w:color w:val="231F20"/>
          <w:bdr w:val="none" w:sz="0" w:space="0" w:color="auto" w:frame="1"/>
          <w:lang w:eastAsia="es-PE"/>
        </w:rPr>
        <w:t xml:space="preserve"> </w:t>
      </w:r>
      <w:r w:rsidR="00357740" w:rsidRPr="008B5F29">
        <w:rPr>
          <w:rFonts w:eastAsia="Times New Roman" w:cs="Times New Roman"/>
          <w:color w:val="231F20"/>
          <w:bdr w:val="none" w:sz="0" w:space="0" w:color="auto" w:frame="1"/>
          <w:lang w:eastAsia="es-PE"/>
        </w:rPr>
        <w:t>nivel de infraestructura deseado en el período 2016-2025, que implica una inversión de US$</w:t>
      </w:r>
      <w:r w:rsidR="00895960">
        <w:rPr>
          <w:rFonts w:eastAsia="Times New Roman" w:cs="Times New Roman"/>
          <w:color w:val="231F20"/>
          <w:bdr w:val="none" w:sz="0" w:space="0" w:color="auto" w:frame="1"/>
          <w:lang w:eastAsia="es-PE"/>
        </w:rPr>
        <w:t xml:space="preserve"> </w:t>
      </w:r>
      <w:r w:rsidR="00357740" w:rsidRPr="008B5F29">
        <w:rPr>
          <w:rFonts w:eastAsia="Times New Roman" w:cs="Times New Roman"/>
          <w:color w:val="231F20"/>
          <w:bdr w:val="none" w:sz="0" w:space="0" w:color="auto" w:frame="1"/>
          <w:lang w:eastAsia="es-PE"/>
        </w:rPr>
        <w:t>159,549 millones.</w:t>
      </w:r>
      <w:r>
        <w:rPr>
          <w:rFonts w:eastAsia="Times New Roman" w:cs="Times New Roman"/>
          <w:color w:val="231F20"/>
          <w:bdr w:val="none" w:sz="0" w:space="0" w:color="auto" w:frame="1"/>
          <w:lang w:eastAsia="es-PE"/>
        </w:rPr>
        <w:t xml:space="preserve"> </w:t>
      </w:r>
      <w:r w:rsidR="00357740" w:rsidRPr="008B5F29">
        <w:rPr>
          <w:rStyle w:val="a"/>
          <w:color w:val="231F20"/>
          <w:bdr w:val="none" w:sz="0" w:space="0" w:color="auto" w:frame="1"/>
          <w:shd w:val="clear" w:color="auto" w:fill="FFFFFF"/>
        </w:rPr>
        <w:t>El</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cierre</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de</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la</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brecha</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de</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infraestructura</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para</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el</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período</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2016-2025</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implicaría</w:t>
      </w:r>
      <w:r w:rsidR="00357740" w:rsidRPr="008B5F29">
        <w:rPr>
          <w:rStyle w:val="apple-converted-space"/>
          <w:color w:val="231F20"/>
          <w:bdr w:val="none" w:sz="0" w:space="0" w:color="auto" w:frame="1"/>
          <w:shd w:val="clear" w:color="auto" w:fill="FFFFFF"/>
        </w:rPr>
        <w:t> </w:t>
      </w:r>
      <w:r w:rsidR="00357740" w:rsidRPr="008B5F29">
        <w:rPr>
          <w:rStyle w:val="l"/>
          <w:color w:val="231F20"/>
          <w:bdr w:val="none" w:sz="0" w:space="0" w:color="auto" w:frame="1"/>
          <w:shd w:val="clear" w:color="auto" w:fill="FFFFFF"/>
        </w:rPr>
        <w:t>una</w:t>
      </w:r>
      <w:r w:rsidR="00895960">
        <w:rPr>
          <w:rStyle w:val="l"/>
          <w:color w:val="231F20"/>
          <w:bdr w:val="none" w:sz="0" w:space="0" w:color="auto" w:frame="1"/>
          <w:shd w:val="clear" w:color="auto" w:fill="FFFFFF"/>
        </w:rPr>
        <w:t xml:space="preserve"> </w:t>
      </w:r>
      <w:r w:rsidR="00357740" w:rsidRPr="008B5F29">
        <w:rPr>
          <w:rStyle w:val="a"/>
          <w:color w:val="231F20"/>
          <w:bdr w:val="none" w:sz="0" w:space="0" w:color="auto" w:frame="1"/>
          <w:shd w:val="clear" w:color="auto" w:fill="FFFFFF"/>
        </w:rPr>
        <w:t>inversión pr</w:t>
      </w:r>
      <w:r w:rsidR="00803E2A">
        <w:rPr>
          <w:rStyle w:val="a"/>
          <w:color w:val="231F20"/>
          <w:bdr w:val="none" w:sz="0" w:space="0" w:color="auto" w:frame="1"/>
          <w:shd w:val="clear" w:color="auto" w:fill="FFFFFF"/>
        </w:rPr>
        <w:t>omedio anual del 8.27% del P</w:t>
      </w:r>
      <w:r>
        <w:rPr>
          <w:rStyle w:val="a"/>
          <w:color w:val="231F20"/>
          <w:bdr w:val="none" w:sz="0" w:space="0" w:color="auto" w:frame="1"/>
          <w:shd w:val="clear" w:color="auto" w:fill="FFFFFF"/>
        </w:rPr>
        <w:t>roducto Bruto Interno (PBI)</w:t>
      </w:r>
      <w:r w:rsidR="00803E2A">
        <w:rPr>
          <w:rStyle w:val="a"/>
          <w:color w:val="231F20"/>
          <w:bdr w:val="none" w:sz="0" w:space="0" w:color="auto" w:frame="1"/>
          <w:shd w:val="clear" w:color="auto" w:fill="FFFFFF"/>
        </w:rPr>
        <w:t xml:space="preserve">, </w:t>
      </w:r>
      <w:r w:rsidR="00357740" w:rsidRPr="008B5F29">
        <w:rPr>
          <w:rStyle w:val="a"/>
          <w:color w:val="231F20"/>
          <w:bdr w:val="none" w:sz="0" w:space="0" w:color="auto" w:frame="1"/>
          <w:shd w:val="clear" w:color="auto" w:fill="FFFFFF"/>
        </w:rPr>
        <w:t>es decir, US$ 15,955 millones anuales</w:t>
      </w:r>
      <w:r w:rsidR="00895960">
        <w:rPr>
          <w:rFonts w:eastAsia="Times New Roman" w:cs="Times New Roman"/>
          <w:color w:val="231F20"/>
          <w:bdr w:val="none" w:sz="0" w:space="0" w:color="auto" w:frame="1"/>
          <w:lang w:eastAsia="es-PE"/>
        </w:rPr>
        <w:t>.</w:t>
      </w:r>
    </w:p>
    <w:p w14:paraId="271CA47F" w14:textId="77777777" w:rsidR="00895960" w:rsidRDefault="00895960" w:rsidP="008B5F29">
      <w:pPr>
        <w:shd w:val="clear" w:color="auto" w:fill="FFFFFF"/>
        <w:spacing w:after="0" w:line="360" w:lineRule="auto"/>
        <w:jc w:val="both"/>
        <w:rPr>
          <w:rFonts w:eastAsia="Times New Roman" w:cs="Times New Roman"/>
          <w:color w:val="231F20"/>
          <w:bdr w:val="none" w:sz="0" w:space="0" w:color="auto" w:frame="1"/>
          <w:lang w:eastAsia="es-PE"/>
        </w:rPr>
      </w:pPr>
    </w:p>
    <w:p w14:paraId="10DF669E" w14:textId="77777777" w:rsidR="00657803" w:rsidRDefault="00075DFC" w:rsidP="008B5F29">
      <w:pPr>
        <w:shd w:val="clear" w:color="auto" w:fill="FFFFFF"/>
        <w:spacing w:after="0" w:line="360" w:lineRule="auto"/>
        <w:jc w:val="both"/>
        <w:rPr>
          <w:rFonts w:eastAsia="Times New Roman" w:cs="Times New Roman"/>
          <w:color w:val="231F20"/>
          <w:bdr w:val="none" w:sz="0" w:space="0" w:color="auto" w:frame="1"/>
          <w:lang w:eastAsia="es-PE"/>
        </w:rPr>
      </w:pPr>
      <w:r>
        <w:rPr>
          <w:rFonts w:eastAsia="Times New Roman" w:cs="Times New Roman"/>
          <w:color w:val="231F20"/>
          <w:bdr w:val="none" w:sz="0" w:space="0" w:color="auto" w:frame="1"/>
          <w:lang w:eastAsia="es-PE"/>
        </w:rPr>
        <w:t xml:space="preserve">Si bien </w:t>
      </w:r>
      <w:r w:rsidR="00EE45B5">
        <w:rPr>
          <w:rFonts w:eastAsia="Times New Roman" w:cs="Times New Roman"/>
          <w:color w:val="231F20"/>
          <w:bdr w:val="none" w:sz="0" w:space="0" w:color="auto" w:frame="1"/>
          <w:lang w:eastAsia="es-PE"/>
        </w:rPr>
        <w:t xml:space="preserve"> en la región Cajamarca </w:t>
      </w:r>
      <w:r>
        <w:rPr>
          <w:rFonts w:eastAsia="Times New Roman" w:cs="Times New Roman"/>
          <w:color w:val="231F20"/>
          <w:bdr w:val="none" w:sz="0" w:space="0" w:color="auto" w:frame="1"/>
          <w:lang w:eastAsia="es-PE"/>
        </w:rPr>
        <w:t xml:space="preserve">no contamos </w:t>
      </w:r>
      <w:r w:rsidR="00895960">
        <w:rPr>
          <w:rFonts w:eastAsia="Times New Roman" w:cs="Times New Roman"/>
          <w:color w:val="231F20"/>
          <w:bdr w:val="none" w:sz="0" w:space="0" w:color="auto" w:frame="1"/>
          <w:lang w:eastAsia="es-PE"/>
        </w:rPr>
        <w:t>con un estimado de la magnitud de la   brecha para alcanzar el nivel  de infraes</w:t>
      </w:r>
      <w:r w:rsidR="00EE45B5">
        <w:rPr>
          <w:rFonts w:eastAsia="Times New Roman" w:cs="Times New Roman"/>
          <w:color w:val="231F20"/>
          <w:bdr w:val="none" w:sz="0" w:space="0" w:color="auto" w:frame="1"/>
          <w:lang w:eastAsia="es-PE"/>
        </w:rPr>
        <w:t>tructura  deseado</w:t>
      </w:r>
      <w:r w:rsidR="00895960">
        <w:rPr>
          <w:rFonts w:eastAsia="Times New Roman" w:cs="Times New Roman"/>
          <w:color w:val="231F20"/>
          <w:bdr w:val="none" w:sz="0" w:space="0" w:color="auto" w:frame="1"/>
          <w:lang w:eastAsia="es-PE"/>
        </w:rPr>
        <w:t xml:space="preserve">, </w:t>
      </w:r>
      <w:r w:rsidR="00F03860">
        <w:rPr>
          <w:rFonts w:eastAsia="Times New Roman" w:cs="Times New Roman"/>
          <w:color w:val="231F20"/>
          <w:bdr w:val="none" w:sz="0" w:space="0" w:color="auto" w:frame="1"/>
          <w:lang w:eastAsia="es-PE"/>
        </w:rPr>
        <w:t xml:space="preserve">sí </w:t>
      </w:r>
      <w:r w:rsidR="00895960">
        <w:rPr>
          <w:rFonts w:eastAsia="Times New Roman" w:cs="Times New Roman"/>
          <w:color w:val="231F20"/>
          <w:bdr w:val="none" w:sz="0" w:space="0" w:color="auto" w:frame="1"/>
          <w:lang w:eastAsia="es-PE"/>
        </w:rPr>
        <w:t>podemos calcular de una forma simple para tener una idea de la magnitud de la inversió</w:t>
      </w:r>
      <w:r w:rsidR="00EE45B5">
        <w:rPr>
          <w:rFonts w:eastAsia="Times New Roman" w:cs="Times New Roman"/>
          <w:color w:val="231F20"/>
          <w:bdr w:val="none" w:sz="0" w:space="0" w:color="auto" w:frame="1"/>
          <w:lang w:eastAsia="es-PE"/>
        </w:rPr>
        <w:t>n que se requiere</w:t>
      </w:r>
      <w:r w:rsidR="00895960">
        <w:rPr>
          <w:rFonts w:eastAsia="Times New Roman" w:cs="Times New Roman"/>
          <w:color w:val="231F20"/>
          <w:bdr w:val="none" w:sz="0" w:space="0" w:color="auto" w:frame="1"/>
          <w:lang w:eastAsia="es-PE"/>
        </w:rPr>
        <w:t xml:space="preserve">,  tomando como  base la inversión </w:t>
      </w:r>
      <w:r w:rsidR="00EE45B5">
        <w:rPr>
          <w:rFonts w:eastAsia="Times New Roman" w:cs="Times New Roman"/>
          <w:color w:val="231F20"/>
          <w:bdr w:val="none" w:sz="0" w:space="0" w:color="auto" w:frame="1"/>
          <w:lang w:eastAsia="es-PE"/>
        </w:rPr>
        <w:t>nacional</w:t>
      </w:r>
      <w:r w:rsidR="00732A09">
        <w:rPr>
          <w:rFonts w:eastAsia="Times New Roman" w:cs="Times New Roman"/>
          <w:color w:val="231F20"/>
          <w:bdr w:val="none" w:sz="0" w:space="0" w:color="auto" w:frame="1"/>
          <w:lang w:eastAsia="es-PE"/>
        </w:rPr>
        <w:t xml:space="preserve"> en infraestructura</w:t>
      </w:r>
      <w:r w:rsidR="00EE45B5">
        <w:rPr>
          <w:rFonts w:eastAsia="Times New Roman" w:cs="Times New Roman"/>
          <w:color w:val="231F20"/>
          <w:bdr w:val="none" w:sz="0" w:space="0" w:color="auto" w:frame="1"/>
          <w:lang w:eastAsia="es-PE"/>
        </w:rPr>
        <w:t xml:space="preserve">, </w:t>
      </w:r>
      <w:r w:rsidR="00230C31">
        <w:rPr>
          <w:rFonts w:eastAsia="Times New Roman" w:cs="Times New Roman"/>
          <w:color w:val="231F20"/>
          <w:bdr w:val="none" w:sz="0" w:space="0" w:color="auto" w:frame="1"/>
          <w:lang w:eastAsia="es-PE"/>
        </w:rPr>
        <w:t>estimada</w:t>
      </w:r>
      <w:r w:rsidR="00EE45B5">
        <w:rPr>
          <w:rFonts w:eastAsia="Times New Roman" w:cs="Times New Roman"/>
          <w:color w:val="231F20"/>
          <w:bdr w:val="none" w:sz="0" w:space="0" w:color="auto" w:frame="1"/>
          <w:lang w:eastAsia="es-PE"/>
        </w:rPr>
        <w:t xml:space="preserve"> por la</w:t>
      </w:r>
      <w:r w:rsidR="003708FA">
        <w:rPr>
          <w:rFonts w:eastAsia="Times New Roman" w:cs="Times New Roman"/>
          <w:color w:val="231F20"/>
          <w:bdr w:val="none" w:sz="0" w:space="0" w:color="auto" w:frame="1"/>
          <w:lang w:eastAsia="es-PE"/>
        </w:rPr>
        <w:t xml:space="preserve"> Escuela de Gestión Pública de la Universidad del Pacífico</w:t>
      </w:r>
      <w:r w:rsidR="00EE45B5">
        <w:rPr>
          <w:rFonts w:eastAsia="Times New Roman" w:cs="Times New Roman"/>
          <w:color w:val="231F20"/>
          <w:bdr w:val="none" w:sz="0" w:space="0" w:color="auto" w:frame="1"/>
          <w:lang w:eastAsia="es-PE"/>
        </w:rPr>
        <w:t xml:space="preserve"> </w:t>
      </w:r>
      <w:r w:rsidR="003708FA">
        <w:rPr>
          <w:rFonts w:eastAsia="Times New Roman" w:cs="Times New Roman"/>
          <w:color w:val="231F20"/>
          <w:bdr w:val="none" w:sz="0" w:space="0" w:color="auto" w:frame="1"/>
          <w:lang w:eastAsia="es-PE"/>
        </w:rPr>
        <w:t>(</w:t>
      </w:r>
      <w:r w:rsidR="00EE45B5">
        <w:rPr>
          <w:rFonts w:eastAsia="Times New Roman" w:cs="Times New Roman"/>
          <w:color w:val="231F20"/>
          <w:bdr w:val="none" w:sz="0" w:space="0" w:color="auto" w:frame="1"/>
          <w:lang w:eastAsia="es-PE"/>
        </w:rPr>
        <w:t>EPG-UP</w:t>
      </w:r>
      <w:r w:rsidR="003708FA">
        <w:rPr>
          <w:rFonts w:eastAsia="Times New Roman" w:cs="Times New Roman"/>
          <w:color w:val="231F20"/>
          <w:bdr w:val="none" w:sz="0" w:space="0" w:color="auto" w:frame="1"/>
          <w:lang w:eastAsia="es-PE"/>
        </w:rPr>
        <w:t>)</w:t>
      </w:r>
      <w:r w:rsidR="00EE45B5">
        <w:rPr>
          <w:rFonts w:eastAsia="Times New Roman" w:cs="Times New Roman"/>
          <w:color w:val="231F20"/>
          <w:bdr w:val="none" w:sz="0" w:space="0" w:color="auto" w:frame="1"/>
          <w:lang w:eastAsia="es-PE"/>
        </w:rPr>
        <w:t xml:space="preserve">, </w:t>
      </w:r>
      <w:r w:rsidR="00895960">
        <w:rPr>
          <w:rFonts w:eastAsia="Times New Roman" w:cs="Times New Roman"/>
          <w:color w:val="231F20"/>
          <w:bdr w:val="none" w:sz="0" w:space="0" w:color="auto" w:frame="1"/>
          <w:lang w:eastAsia="es-PE"/>
        </w:rPr>
        <w:t xml:space="preserve"> ascendente a  US$ 159,549 </w:t>
      </w:r>
      <w:r>
        <w:rPr>
          <w:rFonts w:eastAsia="Times New Roman" w:cs="Times New Roman"/>
          <w:color w:val="231F20"/>
          <w:bdr w:val="none" w:sz="0" w:space="0" w:color="auto" w:frame="1"/>
          <w:lang w:eastAsia="es-PE"/>
        </w:rPr>
        <w:t xml:space="preserve"> millones </w:t>
      </w:r>
      <w:r w:rsidR="00895960">
        <w:rPr>
          <w:rFonts w:eastAsia="Times New Roman" w:cs="Times New Roman"/>
          <w:color w:val="231F20"/>
          <w:bdr w:val="none" w:sz="0" w:space="0" w:color="auto" w:frame="1"/>
          <w:lang w:eastAsia="es-PE"/>
        </w:rPr>
        <w:t>y</w:t>
      </w:r>
      <w:r w:rsidR="005B118F">
        <w:rPr>
          <w:rFonts w:eastAsia="Times New Roman" w:cs="Times New Roman"/>
          <w:color w:val="231F20"/>
          <w:bdr w:val="none" w:sz="0" w:space="0" w:color="auto" w:frame="1"/>
          <w:lang w:eastAsia="es-PE"/>
        </w:rPr>
        <w:t xml:space="preserve"> calculando la</w:t>
      </w:r>
      <w:r w:rsidR="00230C31">
        <w:rPr>
          <w:rFonts w:eastAsia="Times New Roman" w:cs="Times New Roman"/>
          <w:color w:val="231F20"/>
          <w:bdr w:val="none" w:sz="0" w:space="0" w:color="auto" w:frame="1"/>
          <w:lang w:eastAsia="es-PE"/>
        </w:rPr>
        <w:t xml:space="preserve"> inversión per cápita por persona, para lo cual </w:t>
      </w:r>
      <w:r w:rsidR="00657803">
        <w:rPr>
          <w:rFonts w:eastAsia="Times New Roman" w:cs="Times New Roman"/>
          <w:color w:val="231F20"/>
          <w:bdr w:val="none" w:sz="0" w:space="0" w:color="auto" w:frame="1"/>
          <w:lang w:eastAsia="es-PE"/>
        </w:rPr>
        <w:t>dividimos</w:t>
      </w:r>
      <w:r w:rsidR="00230C31">
        <w:rPr>
          <w:rFonts w:eastAsia="Times New Roman" w:cs="Times New Roman"/>
          <w:color w:val="231F20"/>
          <w:bdr w:val="none" w:sz="0" w:space="0" w:color="auto" w:frame="1"/>
          <w:lang w:eastAsia="es-PE"/>
        </w:rPr>
        <w:t xml:space="preserve"> la inversión nacional,</w:t>
      </w:r>
      <w:r w:rsidR="00657803">
        <w:rPr>
          <w:rFonts w:eastAsia="Times New Roman" w:cs="Times New Roman"/>
          <w:color w:val="231F20"/>
          <w:bdr w:val="none" w:sz="0" w:space="0" w:color="auto" w:frame="1"/>
          <w:lang w:eastAsia="es-PE"/>
        </w:rPr>
        <w:t xml:space="preserve"> entre</w:t>
      </w:r>
      <w:r w:rsidR="00230C31">
        <w:rPr>
          <w:rFonts w:eastAsia="Times New Roman" w:cs="Times New Roman"/>
          <w:color w:val="231F20"/>
          <w:bdr w:val="none" w:sz="0" w:space="0" w:color="auto" w:frame="1"/>
          <w:lang w:eastAsia="es-PE"/>
        </w:rPr>
        <w:t xml:space="preserve"> la población total</w:t>
      </w:r>
      <w:r w:rsidR="00EE45B5">
        <w:rPr>
          <w:rFonts w:eastAsia="Times New Roman" w:cs="Times New Roman"/>
          <w:color w:val="231F20"/>
          <w:bdr w:val="none" w:sz="0" w:space="0" w:color="auto" w:frame="1"/>
          <w:lang w:eastAsia="es-PE"/>
        </w:rPr>
        <w:t xml:space="preserve">  que alcanza a </w:t>
      </w:r>
      <w:r>
        <w:rPr>
          <w:rFonts w:eastAsia="Times New Roman" w:cs="Times New Roman"/>
          <w:color w:val="231F20"/>
          <w:bdr w:val="none" w:sz="0" w:space="0" w:color="auto" w:frame="1"/>
          <w:lang w:eastAsia="es-PE"/>
        </w:rPr>
        <w:t>31,151,643</w:t>
      </w:r>
      <w:r w:rsidR="00895960">
        <w:rPr>
          <w:rFonts w:eastAsia="Times New Roman" w:cs="Times New Roman"/>
          <w:color w:val="231F20"/>
          <w:bdr w:val="none" w:sz="0" w:space="0" w:color="auto" w:frame="1"/>
          <w:lang w:eastAsia="es-PE"/>
        </w:rPr>
        <w:t xml:space="preserve">  </w:t>
      </w:r>
      <w:r w:rsidR="00EE45B5">
        <w:rPr>
          <w:rFonts w:eastAsia="Times New Roman" w:cs="Times New Roman"/>
          <w:color w:val="231F20"/>
          <w:bdr w:val="none" w:sz="0" w:space="0" w:color="auto" w:frame="1"/>
          <w:lang w:eastAsia="es-PE"/>
        </w:rPr>
        <w:t>habitantes</w:t>
      </w:r>
      <w:r w:rsidR="00895960">
        <w:rPr>
          <w:rFonts w:eastAsia="Times New Roman" w:cs="Times New Roman"/>
          <w:color w:val="231F20"/>
          <w:bdr w:val="none" w:sz="0" w:space="0" w:color="auto" w:frame="1"/>
          <w:lang w:eastAsia="es-PE"/>
        </w:rPr>
        <w:t xml:space="preserve">  y lo multiplicamos por el númer</w:t>
      </w:r>
      <w:r w:rsidR="005B118F">
        <w:rPr>
          <w:rFonts w:eastAsia="Times New Roman" w:cs="Times New Roman"/>
          <w:color w:val="231F20"/>
          <w:bdr w:val="none" w:sz="0" w:space="0" w:color="auto" w:frame="1"/>
          <w:lang w:eastAsia="es-PE"/>
        </w:rPr>
        <w:t>o de pobladores de la r</w:t>
      </w:r>
      <w:r w:rsidR="00EE45B5">
        <w:rPr>
          <w:rFonts w:eastAsia="Times New Roman" w:cs="Times New Roman"/>
          <w:color w:val="231F20"/>
          <w:bdr w:val="none" w:sz="0" w:space="0" w:color="auto" w:frame="1"/>
          <w:lang w:eastAsia="es-PE"/>
        </w:rPr>
        <w:t>egión  (</w:t>
      </w:r>
      <w:r w:rsidR="00895960">
        <w:rPr>
          <w:rFonts w:eastAsia="Times New Roman" w:cs="Times New Roman"/>
          <w:color w:val="231F20"/>
          <w:bdr w:val="none" w:sz="0" w:space="0" w:color="auto" w:frame="1"/>
          <w:lang w:eastAsia="es-PE"/>
        </w:rPr>
        <w:t>1,529,755 habitantes), tenemos como resultado que la  in</w:t>
      </w:r>
      <w:r w:rsidR="00EE45B5">
        <w:rPr>
          <w:rFonts w:eastAsia="Times New Roman" w:cs="Times New Roman"/>
          <w:color w:val="231F20"/>
          <w:bdr w:val="none" w:sz="0" w:space="0" w:color="auto" w:frame="1"/>
          <w:lang w:eastAsia="es-PE"/>
        </w:rPr>
        <w:t xml:space="preserve">versión  requerida </w:t>
      </w:r>
      <w:r w:rsidR="00895960">
        <w:rPr>
          <w:rFonts w:eastAsia="Times New Roman" w:cs="Times New Roman"/>
          <w:color w:val="231F20"/>
          <w:bdr w:val="none" w:sz="0" w:space="0" w:color="auto" w:frame="1"/>
          <w:lang w:eastAsia="es-PE"/>
        </w:rPr>
        <w:t xml:space="preserve">para los próximos 10 años </w:t>
      </w:r>
      <w:r w:rsidR="00EE45B5">
        <w:rPr>
          <w:rFonts w:eastAsia="Times New Roman" w:cs="Times New Roman"/>
          <w:color w:val="231F20"/>
          <w:bdr w:val="none" w:sz="0" w:space="0" w:color="auto" w:frame="1"/>
          <w:lang w:eastAsia="es-PE"/>
        </w:rPr>
        <w:t xml:space="preserve"> en la región Cajamarca, ascendería</w:t>
      </w:r>
      <w:r w:rsidR="00895960">
        <w:rPr>
          <w:rFonts w:eastAsia="Times New Roman" w:cs="Times New Roman"/>
          <w:color w:val="231F20"/>
          <w:bdr w:val="none" w:sz="0" w:space="0" w:color="auto" w:frame="1"/>
          <w:lang w:eastAsia="es-PE"/>
        </w:rPr>
        <w:t xml:space="preserve"> aproxi</w:t>
      </w:r>
      <w:r w:rsidR="00657803">
        <w:rPr>
          <w:rFonts w:eastAsia="Times New Roman" w:cs="Times New Roman"/>
          <w:color w:val="231F20"/>
          <w:bdr w:val="none" w:sz="0" w:space="0" w:color="auto" w:frame="1"/>
          <w:lang w:eastAsia="es-PE"/>
        </w:rPr>
        <w:t xml:space="preserve">madamente a </w:t>
      </w:r>
      <w:r w:rsidR="00895960">
        <w:rPr>
          <w:rFonts w:eastAsia="Times New Roman" w:cs="Times New Roman"/>
          <w:color w:val="231F20"/>
          <w:bdr w:val="none" w:sz="0" w:space="0" w:color="auto" w:frame="1"/>
          <w:lang w:eastAsia="es-PE"/>
        </w:rPr>
        <w:t xml:space="preserve">   US$ </w:t>
      </w:r>
      <w:r w:rsidR="00EE45B5">
        <w:rPr>
          <w:rFonts w:eastAsia="Times New Roman" w:cs="Times New Roman"/>
          <w:color w:val="231F20"/>
          <w:bdr w:val="none" w:sz="0" w:space="0" w:color="auto" w:frame="1"/>
          <w:lang w:eastAsia="es-PE"/>
        </w:rPr>
        <w:t>7,834  millones, equivalente a</w:t>
      </w:r>
      <w:r>
        <w:rPr>
          <w:rFonts w:eastAsia="Times New Roman" w:cs="Times New Roman"/>
          <w:color w:val="231F20"/>
          <w:bdr w:val="none" w:sz="0" w:space="0" w:color="auto" w:frame="1"/>
          <w:lang w:eastAsia="es-PE"/>
        </w:rPr>
        <w:t xml:space="preserve"> una inversión anual de  US$ </w:t>
      </w:r>
      <w:r w:rsidR="00657803">
        <w:rPr>
          <w:rFonts w:eastAsia="Times New Roman" w:cs="Times New Roman"/>
          <w:color w:val="231F20"/>
          <w:bdr w:val="none" w:sz="0" w:space="0" w:color="auto" w:frame="1"/>
          <w:lang w:eastAsia="es-PE"/>
        </w:rPr>
        <w:t>783,4 millones</w:t>
      </w:r>
      <w:r w:rsidR="00EE45B5">
        <w:rPr>
          <w:rFonts w:eastAsia="Times New Roman" w:cs="Times New Roman"/>
          <w:color w:val="231F20"/>
          <w:bdr w:val="none" w:sz="0" w:space="0" w:color="auto" w:frame="1"/>
          <w:lang w:eastAsia="es-PE"/>
        </w:rPr>
        <w:t xml:space="preserve"> o </w:t>
      </w:r>
      <w:r w:rsidR="00657803">
        <w:rPr>
          <w:rFonts w:eastAsia="Times New Roman" w:cs="Times New Roman"/>
          <w:color w:val="231F20"/>
          <w:bdr w:val="none" w:sz="0" w:space="0" w:color="auto" w:frame="1"/>
          <w:lang w:eastAsia="es-PE"/>
        </w:rPr>
        <w:t xml:space="preserve"> 2,585.22 millones</w:t>
      </w:r>
      <w:r w:rsidR="00EE45B5">
        <w:rPr>
          <w:rFonts w:eastAsia="Times New Roman" w:cs="Times New Roman"/>
          <w:color w:val="231F20"/>
          <w:bdr w:val="none" w:sz="0" w:space="0" w:color="auto" w:frame="1"/>
          <w:lang w:eastAsia="es-PE"/>
        </w:rPr>
        <w:t xml:space="preserve"> de soles</w:t>
      </w:r>
      <w:r w:rsidR="005B118F">
        <w:rPr>
          <w:rFonts w:eastAsia="Times New Roman" w:cs="Times New Roman"/>
          <w:color w:val="231F20"/>
          <w:bdr w:val="none" w:sz="0" w:space="0" w:color="auto" w:frame="1"/>
          <w:lang w:eastAsia="es-PE"/>
        </w:rPr>
        <w:t>. Si tenemos en cuenta que,</w:t>
      </w:r>
      <w:r>
        <w:rPr>
          <w:rFonts w:eastAsia="Times New Roman" w:cs="Times New Roman"/>
          <w:color w:val="231F20"/>
          <w:bdr w:val="none" w:sz="0" w:space="0" w:color="auto" w:frame="1"/>
          <w:lang w:eastAsia="es-PE"/>
        </w:rPr>
        <w:t xml:space="preserve"> el presupuesto instituci</w:t>
      </w:r>
      <w:r w:rsidR="00EE45B5">
        <w:rPr>
          <w:rFonts w:eastAsia="Times New Roman" w:cs="Times New Roman"/>
          <w:color w:val="231F20"/>
          <w:bdr w:val="none" w:sz="0" w:space="0" w:color="auto" w:frame="1"/>
          <w:lang w:eastAsia="es-PE"/>
        </w:rPr>
        <w:t xml:space="preserve">onal de apertura </w:t>
      </w:r>
      <w:r>
        <w:rPr>
          <w:rFonts w:eastAsia="Times New Roman" w:cs="Times New Roman"/>
          <w:color w:val="231F20"/>
          <w:bdr w:val="none" w:sz="0" w:space="0" w:color="auto" w:frame="1"/>
          <w:lang w:eastAsia="es-PE"/>
        </w:rPr>
        <w:t xml:space="preserve">del </w:t>
      </w:r>
      <w:r>
        <w:rPr>
          <w:rFonts w:eastAsia="Times New Roman" w:cs="Times New Roman"/>
          <w:color w:val="231F20"/>
          <w:bdr w:val="none" w:sz="0" w:space="0" w:color="auto" w:frame="1"/>
          <w:lang w:eastAsia="es-PE"/>
        </w:rPr>
        <w:lastRenderedPageBreak/>
        <w:t>gobierno regional</w:t>
      </w:r>
      <w:r w:rsidR="00EE45B5">
        <w:rPr>
          <w:rFonts w:eastAsia="Times New Roman" w:cs="Times New Roman"/>
          <w:color w:val="231F20"/>
          <w:bdr w:val="none" w:sz="0" w:space="0" w:color="auto" w:frame="1"/>
          <w:lang w:eastAsia="es-PE"/>
        </w:rPr>
        <w:t xml:space="preserve"> en el rubro de inversiones</w:t>
      </w:r>
      <w:r>
        <w:rPr>
          <w:rFonts w:eastAsia="Times New Roman" w:cs="Times New Roman"/>
          <w:color w:val="231F20"/>
          <w:bdr w:val="none" w:sz="0" w:space="0" w:color="auto" w:frame="1"/>
          <w:lang w:eastAsia="es-PE"/>
        </w:rPr>
        <w:t xml:space="preserve"> para el año 2017 asciende a S/.  111,9 millones</w:t>
      </w:r>
      <w:r w:rsidR="005B118F">
        <w:rPr>
          <w:rFonts w:eastAsia="Times New Roman" w:cs="Times New Roman"/>
          <w:color w:val="231F20"/>
          <w:bdr w:val="none" w:sz="0" w:space="0" w:color="auto" w:frame="1"/>
          <w:lang w:eastAsia="es-PE"/>
        </w:rPr>
        <w:t>,</w:t>
      </w:r>
      <w:r w:rsidR="00230C31">
        <w:rPr>
          <w:rFonts w:eastAsia="Times New Roman" w:cs="Times New Roman"/>
          <w:color w:val="231F20"/>
          <w:bdr w:val="none" w:sz="0" w:space="0" w:color="auto" w:frame="1"/>
          <w:lang w:eastAsia="es-PE"/>
        </w:rPr>
        <w:t xml:space="preserve"> se demuestra  </w:t>
      </w:r>
      <w:r>
        <w:rPr>
          <w:rFonts w:eastAsia="Times New Roman" w:cs="Times New Roman"/>
          <w:color w:val="231F20"/>
          <w:bdr w:val="none" w:sz="0" w:space="0" w:color="auto" w:frame="1"/>
          <w:lang w:eastAsia="es-PE"/>
        </w:rPr>
        <w:t xml:space="preserve">que </w:t>
      </w:r>
      <w:r w:rsidR="00230C31">
        <w:rPr>
          <w:rFonts w:eastAsia="Times New Roman" w:cs="Times New Roman"/>
          <w:color w:val="231F20"/>
          <w:bdr w:val="none" w:sz="0" w:space="0" w:color="auto" w:frame="1"/>
          <w:lang w:eastAsia="es-PE"/>
        </w:rPr>
        <w:t xml:space="preserve"> el presupuesto</w:t>
      </w:r>
      <w:r>
        <w:rPr>
          <w:rFonts w:eastAsia="Times New Roman" w:cs="Times New Roman"/>
          <w:color w:val="231F20"/>
          <w:bdr w:val="none" w:sz="0" w:space="0" w:color="auto" w:frame="1"/>
          <w:lang w:eastAsia="es-PE"/>
        </w:rPr>
        <w:t xml:space="preserve"> </w:t>
      </w:r>
      <w:r w:rsidR="00230C31">
        <w:rPr>
          <w:rFonts w:eastAsia="Times New Roman" w:cs="Times New Roman"/>
          <w:color w:val="231F20"/>
          <w:bdr w:val="none" w:sz="0" w:space="0" w:color="auto" w:frame="1"/>
          <w:lang w:eastAsia="es-PE"/>
        </w:rPr>
        <w:t>regional es insuficiente  para poder</w:t>
      </w:r>
      <w:r>
        <w:rPr>
          <w:rFonts w:eastAsia="Times New Roman" w:cs="Times New Roman"/>
          <w:color w:val="231F20"/>
          <w:bdr w:val="none" w:sz="0" w:space="0" w:color="auto" w:frame="1"/>
          <w:lang w:eastAsia="es-PE"/>
        </w:rPr>
        <w:t xml:space="preserve">  cerrar </w:t>
      </w:r>
      <w:r w:rsidR="00EE45B5">
        <w:rPr>
          <w:rFonts w:eastAsia="Times New Roman" w:cs="Times New Roman"/>
          <w:color w:val="231F20"/>
          <w:bdr w:val="none" w:sz="0" w:space="0" w:color="auto" w:frame="1"/>
          <w:lang w:eastAsia="es-PE"/>
        </w:rPr>
        <w:t xml:space="preserve">progresivamente </w:t>
      </w:r>
      <w:r>
        <w:rPr>
          <w:rFonts w:eastAsia="Times New Roman" w:cs="Times New Roman"/>
          <w:color w:val="231F20"/>
          <w:bdr w:val="none" w:sz="0" w:space="0" w:color="auto" w:frame="1"/>
          <w:lang w:eastAsia="es-PE"/>
        </w:rPr>
        <w:t>las brechas de infraestructura</w:t>
      </w:r>
      <w:r w:rsidR="00EE45B5">
        <w:rPr>
          <w:rFonts w:eastAsia="Times New Roman" w:cs="Times New Roman"/>
          <w:color w:val="231F20"/>
          <w:bdr w:val="none" w:sz="0" w:space="0" w:color="auto" w:frame="1"/>
          <w:lang w:eastAsia="es-PE"/>
        </w:rPr>
        <w:t xml:space="preserve">   y su contribución  </w:t>
      </w:r>
      <w:r>
        <w:rPr>
          <w:rFonts w:eastAsia="Times New Roman" w:cs="Times New Roman"/>
          <w:color w:val="231F20"/>
          <w:bdr w:val="none" w:sz="0" w:space="0" w:color="auto" w:frame="1"/>
          <w:lang w:eastAsia="es-PE"/>
        </w:rPr>
        <w:t>a</w:t>
      </w:r>
      <w:r w:rsidR="00EE45B5">
        <w:rPr>
          <w:rFonts w:eastAsia="Times New Roman" w:cs="Times New Roman"/>
          <w:color w:val="231F20"/>
          <w:bdr w:val="none" w:sz="0" w:space="0" w:color="auto" w:frame="1"/>
          <w:lang w:eastAsia="es-PE"/>
        </w:rPr>
        <w:t xml:space="preserve"> la disminución   de</w:t>
      </w:r>
      <w:r>
        <w:rPr>
          <w:rFonts w:eastAsia="Times New Roman" w:cs="Times New Roman"/>
          <w:color w:val="231F20"/>
          <w:bdr w:val="none" w:sz="0" w:space="0" w:color="auto" w:frame="1"/>
          <w:lang w:eastAsia="es-PE"/>
        </w:rPr>
        <w:t xml:space="preserve"> la pobreza y brechas sociales</w:t>
      </w:r>
      <w:r w:rsidR="009778D5">
        <w:rPr>
          <w:rFonts w:eastAsia="Times New Roman" w:cs="Times New Roman"/>
          <w:color w:val="231F20"/>
          <w:bdr w:val="none" w:sz="0" w:space="0" w:color="auto" w:frame="1"/>
          <w:lang w:eastAsia="es-PE"/>
        </w:rPr>
        <w:t xml:space="preserve"> </w:t>
      </w:r>
      <w:r w:rsidR="009778D5" w:rsidRPr="00B35EB9">
        <w:rPr>
          <w:rFonts w:cs="TimesNewRomanPSMT"/>
          <w:i/>
        </w:rPr>
        <w:t>“El presupuesto y su contenido detonador de transformaciones sociales y económicas sustenta</w:t>
      </w:r>
      <w:r w:rsidR="009778D5">
        <w:rPr>
          <w:rFonts w:cs="TimesNewRomanPSMT"/>
          <w:i/>
        </w:rPr>
        <w:t>bles”</w:t>
      </w:r>
      <w:r w:rsidR="009778D5" w:rsidRPr="00B35EB9">
        <w:rPr>
          <w:rFonts w:cs="TimesNewRomanPSMT"/>
          <w:i/>
        </w:rPr>
        <w:t xml:space="preserve"> </w:t>
      </w:r>
      <w:r w:rsidR="009778D5">
        <w:rPr>
          <w:rFonts w:cs="TimesNewRomanPSMT"/>
        </w:rPr>
        <w:t xml:space="preserve">  (Soto: 48)</w:t>
      </w:r>
      <w:r w:rsidR="000E4498">
        <w:rPr>
          <w:rFonts w:cs="TimesNewRomanPSMT"/>
        </w:rPr>
        <w:t>.</w:t>
      </w:r>
    </w:p>
    <w:p w14:paraId="65708401" w14:textId="77777777" w:rsidR="00657803" w:rsidRDefault="00657803" w:rsidP="008B5F29">
      <w:pPr>
        <w:shd w:val="clear" w:color="auto" w:fill="FFFFFF"/>
        <w:spacing w:after="0" w:line="360" w:lineRule="auto"/>
        <w:jc w:val="both"/>
        <w:rPr>
          <w:rFonts w:eastAsia="Times New Roman" w:cs="Times New Roman"/>
          <w:color w:val="231F20"/>
          <w:bdr w:val="none" w:sz="0" w:space="0" w:color="auto" w:frame="1"/>
          <w:lang w:eastAsia="es-PE"/>
        </w:rPr>
      </w:pPr>
    </w:p>
    <w:p w14:paraId="2884F494" w14:textId="77777777" w:rsidR="00895960" w:rsidRPr="00357740" w:rsidRDefault="00657803" w:rsidP="008B5F29">
      <w:pPr>
        <w:shd w:val="clear" w:color="auto" w:fill="FFFFFF"/>
        <w:spacing w:after="0" w:line="360" w:lineRule="auto"/>
        <w:jc w:val="both"/>
        <w:rPr>
          <w:rFonts w:eastAsia="Times New Roman" w:cs="Arial"/>
          <w:color w:val="000000"/>
          <w:lang w:eastAsia="es-PE"/>
        </w:rPr>
      </w:pPr>
      <w:r>
        <w:rPr>
          <w:rFonts w:eastAsia="Times New Roman" w:cs="Times New Roman"/>
          <w:color w:val="231F20"/>
          <w:bdr w:val="none" w:sz="0" w:space="0" w:color="auto" w:frame="1"/>
          <w:lang w:eastAsia="es-PE"/>
        </w:rPr>
        <w:t xml:space="preserve">De acuerdo a lo señalado,  y si asumimos que el presupuesto  del Gobierno Regional de Cajamarca se mantuviera constante en los próximos años,  para poder cerrar la brecha de </w:t>
      </w:r>
      <w:r w:rsidR="00230C31">
        <w:rPr>
          <w:rFonts w:eastAsia="Times New Roman" w:cs="Times New Roman"/>
          <w:color w:val="231F20"/>
          <w:bdr w:val="none" w:sz="0" w:space="0" w:color="auto" w:frame="1"/>
          <w:lang w:eastAsia="es-PE"/>
        </w:rPr>
        <w:t xml:space="preserve">infraestructura se requeriría </w:t>
      </w:r>
      <w:r>
        <w:rPr>
          <w:rFonts w:eastAsia="Times New Roman" w:cs="Times New Roman"/>
          <w:color w:val="231F20"/>
          <w:bdr w:val="none" w:sz="0" w:space="0" w:color="auto" w:frame="1"/>
          <w:lang w:eastAsia="es-PE"/>
        </w:rPr>
        <w:t xml:space="preserve"> aproximadamente  de  231  años</w:t>
      </w:r>
      <w:r w:rsidR="00075DFC">
        <w:rPr>
          <w:rFonts w:eastAsia="Times New Roman" w:cs="Times New Roman"/>
          <w:color w:val="231F20"/>
          <w:bdr w:val="none" w:sz="0" w:space="0" w:color="auto" w:frame="1"/>
          <w:lang w:eastAsia="es-PE"/>
        </w:rPr>
        <w:t>.</w:t>
      </w:r>
      <w:r>
        <w:rPr>
          <w:rFonts w:eastAsia="Times New Roman" w:cs="Times New Roman"/>
          <w:color w:val="231F20"/>
          <w:bdr w:val="none" w:sz="0" w:space="0" w:color="auto" w:frame="1"/>
          <w:lang w:eastAsia="es-PE"/>
        </w:rPr>
        <w:t xml:space="preserve"> De otra parte</w:t>
      </w:r>
      <w:r w:rsidR="002A329C">
        <w:rPr>
          <w:rFonts w:eastAsia="Times New Roman" w:cs="Times New Roman"/>
          <w:color w:val="231F20"/>
          <w:bdr w:val="none" w:sz="0" w:space="0" w:color="auto" w:frame="1"/>
          <w:lang w:eastAsia="es-PE"/>
        </w:rPr>
        <w:t>,</w:t>
      </w:r>
      <w:r>
        <w:rPr>
          <w:rFonts w:eastAsia="Times New Roman" w:cs="Times New Roman"/>
          <w:color w:val="231F20"/>
          <w:bdr w:val="none" w:sz="0" w:space="0" w:color="auto" w:frame="1"/>
          <w:lang w:eastAsia="es-PE"/>
        </w:rPr>
        <w:t xml:space="preserve"> es menester precisar que en el cálculo estimado de las necesidades de inversión regional para infraestructura</w:t>
      </w:r>
      <w:r w:rsidR="00895960">
        <w:rPr>
          <w:rFonts w:eastAsia="Times New Roman" w:cs="Times New Roman"/>
          <w:color w:val="231F20"/>
          <w:bdr w:val="none" w:sz="0" w:space="0" w:color="auto" w:frame="1"/>
          <w:lang w:eastAsia="es-PE"/>
        </w:rPr>
        <w:t xml:space="preserve">  </w:t>
      </w:r>
      <w:r>
        <w:rPr>
          <w:rFonts w:eastAsia="Times New Roman" w:cs="Times New Roman"/>
          <w:color w:val="231F20"/>
          <w:bdr w:val="none" w:sz="0" w:space="0" w:color="auto" w:frame="1"/>
          <w:lang w:eastAsia="es-PE"/>
        </w:rPr>
        <w:t xml:space="preserve"> se ha efectuado solo tomando en consideración la población y no  una combinación con las brechas regionales que hubiese sido más equitativo</w:t>
      </w:r>
      <w:r w:rsidR="002A329C">
        <w:rPr>
          <w:rFonts w:eastAsia="Times New Roman" w:cs="Times New Roman"/>
          <w:color w:val="231F20"/>
          <w:bdr w:val="none" w:sz="0" w:space="0" w:color="auto" w:frame="1"/>
          <w:lang w:eastAsia="es-PE"/>
        </w:rPr>
        <w:t>.</w:t>
      </w:r>
    </w:p>
    <w:p w14:paraId="0FA79FEB" w14:textId="77777777" w:rsidR="00357740" w:rsidRPr="008B5F29" w:rsidRDefault="00357740" w:rsidP="008B5F29">
      <w:pPr>
        <w:pStyle w:val="Default"/>
        <w:spacing w:line="360" w:lineRule="auto"/>
        <w:rPr>
          <w:rFonts w:asciiTheme="minorHAnsi" w:hAnsiTheme="minorHAnsi"/>
          <w:sz w:val="22"/>
          <w:szCs w:val="22"/>
        </w:rPr>
      </w:pPr>
    </w:p>
    <w:p w14:paraId="2CAEBF28" w14:textId="77777777" w:rsidR="00201B03" w:rsidRPr="008B5F29" w:rsidRDefault="00357740" w:rsidP="00207BCC">
      <w:pPr>
        <w:pStyle w:val="Default"/>
        <w:spacing w:line="360" w:lineRule="auto"/>
        <w:jc w:val="both"/>
        <w:rPr>
          <w:rFonts w:asciiTheme="minorHAnsi" w:hAnsiTheme="minorHAnsi"/>
          <w:sz w:val="22"/>
          <w:szCs w:val="22"/>
        </w:rPr>
      </w:pPr>
      <w:r w:rsidRPr="008B5F29">
        <w:rPr>
          <w:rStyle w:val="a"/>
          <w:rFonts w:asciiTheme="minorHAnsi" w:hAnsiTheme="minorHAnsi"/>
          <w:color w:val="231F20"/>
          <w:sz w:val="22"/>
          <w:szCs w:val="22"/>
          <w:bdr w:val="none" w:sz="0" w:space="0" w:color="auto" w:frame="1"/>
          <w:shd w:val="clear" w:color="auto" w:fill="FFFFFF"/>
        </w:rPr>
        <w:t>Para cubrir la brecha</w:t>
      </w:r>
      <w:r w:rsidR="002A329C">
        <w:rPr>
          <w:rStyle w:val="a"/>
          <w:rFonts w:asciiTheme="minorHAnsi" w:hAnsiTheme="minorHAnsi"/>
          <w:color w:val="231F20"/>
          <w:sz w:val="22"/>
          <w:szCs w:val="22"/>
          <w:bdr w:val="none" w:sz="0" w:space="0" w:color="auto" w:frame="1"/>
          <w:shd w:val="clear" w:color="auto" w:fill="FFFFFF"/>
        </w:rPr>
        <w:t xml:space="preserve"> </w:t>
      </w:r>
      <w:r w:rsidR="00732A09">
        <w:rPr>
          <w:rStyle w:val="a"/>
          <w:rFonts w:asciiTheme="minorHAnsi" w:hAnsiTheme="minorHAnsi"/>
          <w:color w:val="231F20"/>
          <w:sz w:val="22"/>
          <w:szCs w:val="22"/>
          <w:bdr w:val="none" w:sz="0" w:space="0" w:color="auto" w:frame="1"/>
          <w:shd w:val="clear" w:color="auto" w:fill="FFFFFF"/>
        </w:rPr>
        <w:t xml:space="preserve"> nacional </w:t>
      </w:r>
      <w:r w:rsidR="002A329C">
        <w:rPr>
          <w:rStyle w:val="a"/>
          <w:rFonts w:asciiTheme="minorHAnsi" w:hAnsiTheme="minorHAnsi"/>
          <w:color w:val="231F20"/>
          <w:sz w:val="22"/>
          <w:szCs w:val="22"/>
          <w:bdr w:val="none" w:sz="0" w:space="0" w:color="auto" w:frame="1"/>
          <w:shd w:val="clear" w:color="auto" w:fill="FFFFFF"/>
        </w:rPr>
        <w:t>de infraestructura estimada</w:t>
      </w:r>
      <w:r w:rsidR="00732A09">
        <w:rPr>
          <w:rStyle w:val="a"/>
          <w:rFonts w:asciiTheme="minorHAnsi" w:hAnsiTheme="minorHAnsi"/>
          <w:color w:val="231F20"/>
          <w:sz w:val="22"/>
          <w:szCs w:val="22"/>
          <w:bdr w:val="none" w:sz="0" w:space="0" w:color="auto" w:frame="1"/>
          <w:shd w:val="clear" w:color="auto" w:fill="FFFFFF"/>
        </w:rPr>
        <w:t xml:space="preserve">, </w:t>
      </w:r>
      <w:r w:rsidR="002A329C">
        <w:rPr>
          <w:rStyle w:val="a"/>
          <w:rFonts w:asciiTheme="minorHAnsi" w:hAnsiTheme="minorHAnsi"/>
          <w:color w:val="231F20"/>
          <w:sz w:val="22"/>
          <w:szCs w:val="22"/>
          <w:bdr w:val="none" w:sz="0" w:space="0" w:color="auto" w:frame="1"/>
          <w:shd w:val="clear" w:color="auto" w:fill="FFFFFF"/>
        </w:rPr>
        <w:t xml:space="preserve"> la </w:t>
      </w:r>
      <w:r w:rsidR="002A329C" w:rsidRPr="002A329C">
        <w:rPr>
          <w:rFonts w:asciiTheme="minorHAnsi" w:eastAsia="Times New Roman" w:hAnsiTheme="minorHAnsi" w:cs="Times New Roman"/>
          <w:color w:val="231F20"/>
          <w:sz w:val="22"/>
          <w:szCs w:val="22"/>
          <w:bdr w:val="none" w:sz="0" w:space="0" w:color="auto" w:frame="1"/>
          <w:lang w:eastAsia="es-PE"/>
        </w:rPr>
        <w:t>EPG-UP</w:t>
      </w:r>
      <w:r w:rsidR="00207BCC">
        <w:rPr>
          <w:rFonts w:asciiTheme="minorHAnsi" w:eastAsia="Times New Roman" w:hAnsiTheme="minorHAnsi" w:cs="Times New Roman"/>
          <w:color w:val="231F20"/>
          <w:sz w:val="22"/>
          <w:szCs w:val="22"/>
          <w:bdr w:val="none" w:sz="0" w:space="0" w:color="auto" w:frame="1"/>
          <w:lang w:eastAsia="es-PE"/>
        </w:rPr>
        <w:t xml:space="preserve"> (</w:t>
      </w:r>
      <w:r w:rsidR="00207BCC" w:rsidRPr="006C53B1">
        <w:rPr>
          <w:rFonts w:asciiTheme="minorHAnsi" w:eastAsia="Times New Roman" w:hAnsiTheme="minorHAnsi" w:cs="Times New Roman"/>
          <w:color w:val="auto"/>
          <w:sz w:val="22"/>
          <w:szCs w:val="22"/>
          <w:bdr w:val="none" w:sz="0" w:space="0" w:color="auto" w:frame="1"/>
          <w:lang w:eastAsia="es-PE"/>
        </w:rPr>
        <w:t>2015</w:t>
      </w:r>
      <w:r w:rsidR="002A329C">
        <w:rPr>
          <w:rFonts w:asciiTheme="minorHAnsi" w:eastAsia="Times New Roman" w:hAnsiTheme="minorHAnsi" w:cs="Times New Roman"/>
          <w:color w:val="231F20"/>
          <w:sz w:val="22"/>
          <w:szCs w:val="22"/>
          <w:bdr w:val="none" w:sz="0" w:space="0" w:color="auto" w:frame="1"/>
          <w:lang w:eastAsia="es-PE"/>
        </w:rPr>
        <w:t>)</w:t>
      </w:r>
      <w:r w:rsidR="002A329C" w:rsidRPr="002A329C">
        <w:rPr>
          <w:rFonts w:asciiTheme="minorHAnsi" w:eastAsia="Times New Roman" w:hAnsiTheme="minorHAnsi" w:cs="Times New Roman"/>
          <w:color w:val="231F20"/>
          <w:sz w:val="22"/>
          <w:szCs w:val="22"/>
          <w:bdr w:val="none" w:sz="0" w:space="0" w:color="auto" w:frame="1"/>
          <w:lang w:eastAsia="es-PE"/>
        </w:rPr>
        <w:t xml:space="preserve">  </w:t>
      </w:r>
      <w:r w:rsidR="00207BCC">
        <w:rPr>
          <w:rStyle w:val="a"/>
          <w:rFonts w:asciiTheme="minorHAnsi" w:hAnsiTheme="minorHAnsi"/>
          <w:color w:val="231F20"/>
          <w:sz w:val="22"/>
          <w:szCs w:val="22"/>
          <w:bdr w:val="none" w:sz="0" w:space="0" w:color="auto" w:frame="1"/>
          <w:shd w:val="clear" w:color="auto" w:fill="FFFFFF"/>
        </w:rPr>
        <w:t>recomendó</w:t>
      </w:r>
      <w:r w:rsidRPr="008B5F29">
        <w:rPr>
          <w:rStyle w:val="a"/>
          <w:rFonts w:asciiTheme="minorHAnsi" w:hAnsiTheme="minorHAnsi"/>
          <w:color w:val="231F20"/>
          <w:sz w:val="22"/>
          <w:szCs w:val="22"/>
          <w:bdr w:val="none" w:sz="0" w:space="0" w:color="auto" w:frame="1"/>
          <w:shd w:val="clear" w:color="auto" w:fill="FFFFFF"/>
        </w:rPr>
        <w:t xml:space="preserve"> realizar, por lo</w:t>
      </w:r>
      <w:r w:rsidR="002A329C">
        <w:rPr>
          <w:rStyle w:val="a"/>
          <w:rFonts w:asciiTheme="minorHAnsi" w:hAnsiTheme="minorHAnsi"/>
          <w:color w:val="231F20"/>
          <w:sz w:val="22"/>
          <w:szCs w:val="22"/>
          <w:bdr w:val="none" w:sz="0" w:space="0" w:color="auto" w:frame="1"/>
          <w:shd w:val="clear" w:color="auto" w:fill="FFFFFF"/>
        </w:rPr>
        <w:t xml:space="preserve"> </w:t>
      </w:r>
      <w:r w:rsidR="00207BCC">
        <w:rPr>
          <w:rStyle w:val="a"/>
          <w:rFonts w:asciiTheme="minorHAnsi" w:hAnsiTheme="minorHAnsi"/>
          <w:color w:val="231F20"/>
          <w:sz w:val="22"/>
          <w:szCs w:val="22"/>
          <w:bdr w:val="none" w:sz="0" w:space="0" w:color="auto" w:frame="1"/>
          <w:shd w:val="clear" w:color="auto" w:fill="FFFFFF"/>
        </w:rPr>
        <w:t xml:space="preserve">menos, las siguiente acciones: </w:t>
      </w:r>
      <w:r w:rsidR="00207BCC">
        <w:rPr>
          <w:rFonts w:asciiTheme="minorHAnsi" w:hAnsiTheme="minorHAnsi"/>
          <w:sz w:val="22"/>
          <w:szCs w:val="22"/>
        </w:rPr>
        <w:t xml:space="preserve"> E</w:t>
      </w:r>
      <w:r w:rsidR="002D3562" w:rsidRPr="008B5F29">
        <w:rPr>
          <w:rFonts w:asciiTheme="minorHAnsi" w:hAnsiTheme="minorHAnsi"/>
          <w:sz w:val="22"/>
          <w:szCs w:val="22"/>
        </w:rPr>
        <w:t>l</w:t>
      </w:r>
      <w:r w:rsidR="000E4498">
        <w:rPr>
          <w:rFonts w:asciiTheme="minorHAnsi" w:hAnsiTheme="minorHAnsi"/>
          <w:sz w:val="22"/>
          <w:szCs w:val="22"/>
        </w:rPr>
        <w:t>aboración de un “p</w:t>
      </w:r>
      <w:r w:rsidR="00207BCC">
        <w:rPr>
          <w:rFonts w:asciiTheme="minorHAnsi" w:hAnsiTheme="minorHAnsi"/>
          <w:sz w:val="22"/>
          <w:szCs w:val="22"/>
        </w:rPr>
        <w:t>lan</w:t>
      </w:r>
      <w:r w:rsidR="000E4498">
        <w:rPr>
          <w:rFonts w:asciiTheme="minorHAnsi" w:hAnsiTheme="minorHAnsi"/>
          <w:sz w:val="22"/>
          <w:szCs w:val="22"/>
        </w:rPr>
        <w:t xml:space="preserve"> nacional de i</w:t>
      </w:r>
      <w:r w:rsidR="00732A09">
        <w:rPr>
          <w:rFonts w:asciiTheme="minorHAnsi" w:hAnsiTheme="minorHAnsi"/>
          <w:sz w:val="22"/>
          <w:szCs w:val="22"/>
        </w:rPr>
        <w:t>nfraestructura</w:t>
      </w:r>
      <w:r w:rsidR="000E4498">
        <w:rPr>
          <w:rFonts w:asciiTheme="minorHAnsi" w:hAnsiTheme="minorHAnsi"/>
          <w:sz w:val="22"/>
          <w:szCs w:val="22"/>
        </w:rPr>
        <w:t>”</w:t>
      </w:r>
      <w:r w:rsidR="00207BCC">
        <w:rPr>
          <w:rFonts w:asciiTheme="minorHAnsi" w:hAnsiTheme="minorHAnsi"/>
          <w:sz w:val="22"/>
          <w:szCs w:val="22"/>
        </w:rPr>
        <w:t xml:space="preserve"> (PNI) de </w:t>
      </w:r>
      <w:r w:rsidR="002D3562" w:rsidRPr="008B5F29">
        <w:rPr>
          <w:rFonts w:asciiTheme="minorHAnsi" w:hAnsiTheme="minorHAnsi"/>
          <w:sz w:val="22"/>
          <w:szCs w:val="22"/>
        </w:rPr>
        <w:t xml:space="preserve">largo plazo, con </w:t>
      </w:r>
      <w:r w:rsidR="00207BCC">
        <w:rPr>
          <w:rFonts w:asciiTheme="minorHAnsi" w:hAnsiTheme="minorHAnsi"/>
          <w:sz w:val="22"/>
          <w:szCs w:val="22"/>
        </w:rPr>
        <w:t xml:space="preserve">un horizonte mínimo de 10 años </w:t>
      </w:r>
      <w:r w:rsidR="002D3562" w:rsidRPr="008B5F29">
        <w:rPr>
          <w:rFonts w:asciiTheme="minorHAnsi" w:hAnsiTheme="minorHAnsi"/>
          <w:sz w:val="22"/>
          <w:szCs w:val="22"/>
        </w:rPr>
        <w:t>sujeto a revisio</w:t>
      </w:r>
      <w:r w:rsidR="00207BCC">
        <w:rPr>
          <w:rFonts w:asciiTheme="minorHAnsi" w:hAnsiTheme="minorHAnsi"/>
          <w:sz w:val="22"/>
          <w:szCs w:val="22"/>
        </w:rPr>
        <w:t xml:space="preserve">nes periódicas para </w:t>
      </w:r>
      <w:r w:rsidR="002D3562" w:rsidRPr="008B5F29">
        <w:rPr>
          <w:rFonts w:asciiTheme="minorHAnsi" w:hAnsiTheme="minorHAnsi"/>
          <w:sz w:val="22"/>
          <w:szCs w:val="22"/>
        </w:rPr>
        <w:t>priorizar las necesidades de los servicios públicos y empaquetar m</w:t>
      </w:r>
      <w:r w:rsidR="00207BCC">
        <w:rPr>
          <w:rFonts w:asciiTheme="minorHAnsi" w:hAnsiTheme="minorHAnsi"/>
          <w:sz w:val="22"/>
          <w:szCs w:val="22"/>
        </w:rPr>
        <w:t xml:space="preserve">últiples proyectos en unos solo; determinar la </w:t>
      </w:r>
      <w:r w:rsidR="002D3562" w:rsidRPr="008B5F29">
        <w:rPr>
          <w:rFonts w:asciiTheme="minorHAnsi" w:hAnsiTheme="minorHAnsi"/>
          <w:sz w:val="22"/>
          <w:szCs w:val="22"/>
        </w:rPr>
        <w:t>modalidad de financiamiento</w:t>
      </w:r>
      <w:r w:rsidR="00B94E70">
        <w:rPr>
          <w:rFonts w:asciiTheme="minorHAnsi" w:hAnsiTheme="minorHAnsi"/>
          <w:sz w:val="22"/>
          <w:szCs w:val="22"/>
        </w:rPr>
        <w:t xml:space="preserve"> que</w:t>
      </w:r>
      <w:r w:rsidR="002D3562" w:rsidRPr="008B5F29">
        <w:rPr>
          <w:rFonts w:asciiTheme="minorHAnsi" w:hAnsiTheme="minorHAnsi"/>
          <w:sz w:val="22"/>
          <w:szCs w:val="22"/>
        </w:rPr>
        <w:t xml:space="preserve"> se usa</w:t>
      </w:r>
      <w:r w:rsidR="00207BCC">
        <w:rPr>
          <w:rFonts w:asciiTheme="minorHAnsi" w:hAnsiTheme="minorHAnsi"/>
          <w:sz w:val="22"/>
          <w:szCs w:val="22"/>
        </w:rPr>
        <w:t>rá para los distintos proyectos; articulación de los</w:t>
      </w:r>
      <w:r w:rsidR="002D3562" w:rsidRPr="008B5F29">
        <w:rPr>
          <w:rFonts w:asciiTheme="minorHAnsi" w:hAnsiTheme="minorHAnsi"/>
          <w:sz w:val="22"/>
          <w:szCs w:val="22"/>
        </w:rPr>
        <w:t xml:space="preserve"> planes subnacion</w:t>
      </w:r>
      <w:r w:rsidR="00207BCC">
        <w:rPr>
          <w:rFonts w:asciiTheme="minorHAnsi" w:hAnsiTheme="minorHAnsi"/>
          <w:sz w:val="22"/>
          <w:szCs w:val="22"/>
        </w:rPr>
        <w:t xml:space="preserve">ales y sectoriales al PNI; </w:t>
      </w:r>
      <w:r w:rsidR="002D3562" w:rsidRPr="008B5F29">
        <w:rPr>
          <w:rFonts w:asciiTheme="minorHAnsi" w:hAnsiTheme="minorHAnsi"/>
          <w:sz w:val="22"/>
          <w:szCs w:val="22"/>
        </w:rPr>
        <w:t>priorizar</w:t>
      </w:r>
      <w:r w:rsidR="00207BCC">
        <w:rPr>
          <w:rFonts w:asciiTheme="minorHAnsi" w:hAnsiTheme="minorHAnsi"/>
          <w:sz w:val="22"/>
          <w:szCs w:val="22"/>
        </w:rPr>
        <w:t xml:space="preserve"> en el PIN</w:t>
      </w:r>
      <w:r w:rsidR="002D3562" w:rsidRPr="008B5F29">
        <w:rPr>
          <w:rFonts w:asciiTheme="minorHAnsi" w:hAnsiTheme="minorHAnsi"/>
          <w:sz w:val="22"/>
          <w:szCs w:val="22"/>
        </w:rPr>
        <w:t xml:space="preserve"> una política integral de articulación, en lugar de continuar con la inversió</w:t>
      </w:r>
      <w:r w:rsidR="00207BCC">
        <w:rPr>
          <w:rFonts w:asciiTheme="minorHAnsi" w:hAnsiTheme="minorHAnsi"/>
          <w:sz w:val="22"/>
          <w:szCs w:val="22"/>
        </w:rPr>
        <w:t xml:space="preserve">n en proyectos aislados; </w:t>
      </w:r>
      <w:r w:rsidR="002D3562" w:rsidRPr="008B5F29">
        <w:rPr>
          <w:rFonts w:asciiTheme="minorHAnsi" w:hAnsiTheme="minorHAnsi"/>
          <w:sz w:val="22"/>
          <w:szCs w:val="22"/>
        </w:rPr>
        <w:t xml:space="preserve"> busca</w:t>
      </w:r>
      <w:r w:rsidR="00207BCC">
        <w:rPr>
          <w:rFonts w:asciiTheme="minorHAnsi" w:hAnsiTheme="minorHAnsi"/>
          <w:sz w:val="22"/>
          <w:szCs w:val="22"/>
        </w:rPr>
        <w:t>r la cooperación entre gobierno</w:t>
      </w:r>
      <w:r w:rsidR="002D3562" w:rsidRPr="008B5F29">
        <w:rPr>
          <w:rFonts w:asciiTheme="minorHAnsi" w:hAnsiTheme="minorHAnsi"/>
          <w:sz w:val="22"/>
          <w:szCs w:val="22"/>
        </w:rPr>
        <w:t>s</w:t>
      </w:r>
      <w:r w:rsidR="00207BCC">
        <w:rPr>
          <w:rFonts w:asciiTheme="minorHAnsi" w:hAnsiTheme="minorHAnsi"/>
          <w:sz w:val="22"/>
          <w:szCs w:val="22"/>
        </w:rPr>
        <w:t xml:space="preserve"> regionales, gobiernos locales </w:t>
      </w:r>
      <w:r w:rsidR="002D3562" w:rsidRPr="008B5F29">
        <w:rPr>
          <w:rFonts w:asciiTheme="minorHAnsi" w:hAnsiTheme="minorHAnsi"/>
          <w:sz w:val="22"/>
          <w:szCs w:val="22"/>
        </w:rPr>
        <w:t xml:space="preserve"> y entre m</w:t>
      </w:r>
      <w:r w:rsidR="00207BCC">
        <w:rPr>
          <w:rFonts w:asciiTheme="minorHAnsi" w:hAnsiTheme="minorHAnsi"/>
          <w:sz w:val="22"/>
          <w:szCs w:val="22"/>
        </w:rPr>
        <w:t xml:space="preserve">inisterios; </w:t>
      </w:r>
      <w:r w:rsidR="00B94E70">
        <w:rPr>
          <w:rFonts w:asciiTheme="minorHAnsi" w:hAnsiTheme="minorHAnsi"/>
          <w:sz w:val="22"/>
          <w:szCs w:val="22"/>
        </w:rPr>
        <w:t>i</w:t>
      </w:r>
      <w:r w:rsidR="002D3562" w:rsidRPr="008B5F29">
        <w:rPr>
          <w:rFonts w:asciiTheme="minorHAnsi" w:hAnsiTheme="minorHAnsi"/>
          <w:sz w:val="22"/>
          <w:szCs w:val="22"/>
        </w:rPr>
        <w:t>mplementar una política general que asegure el mantenimiento en</w:t>
      </w:r>
      <w:r w:rsidR="00207BCC">
        <w:rPr>
          <w:rFonts w:asciiTheme="minorHAnsi" w:hAnsiTheme="minorHAnsi"/>
          <w:sz w:val="22"/>
          <w:szCs w:val="22"/>
        </w:rPr>
        <w:t xml:space="preserve"> la formulación del proyecto, de</w:t>
      </w:r>
      <w:r w:rsidR="002D3562" w:rsidRPr="008B5F29">
        <w:rPr>
          <w:rFonts w:asciiTheme="minorHAnsi" w:hAnsiTheme="minorHAnsi"/>
          <w:sz w:val="22"/>
          <w:szCs w:val="22"/>
        </w:rPr>
        <w:t xml:space="preserve"> esta manera se evitará malgastar dinero en</w:t>
      </w:r>
      <w:r w:rsidR="00F97FFA">
        <w:rPr>
          <w:rFonts w:asciiTheme="minorHAnsi" w:hAnsiTheme="minorHAnsi"/>
          <w:sz w:val="22"/>
          <w:szCs w:val="22"/>
        </w:rPr>
        <w:t xml:space="preserve"> rehabilitación y </w:t>
      </w:r>
      <w:r w:rsidR="00207BCC">
        <w:rPr>
          <w:rFonts w:asciiTheme="minorHAnsi" w:hAnsiTheme="minorHAnsi"/>
          <w:sz w:val="22"/>
          <w:szCs w:val="22"/>
        </w:rPr>
        <w:t>reconstrucción; s</w:t>
      </w:r>
      <w:r w:rsidR="002D3562" w:rsidRPr="008B5F29">
        <w:rPr>
          <w:rFonts w:asciiTheme="minorHAnsi" w:hAnsiTheme="minorHAnsi"/>
          <w:sz w:val="22"/>
          <w:szCs w:val="22"/>
        </w:rPr>
        <w:t>o</w:t>
      </w:r>
      <w:r w:rsidR="00F97FFA">
        <w:rPr>
          <w:rFonts w:asciiTheme="minorHAnsi" w:hAnsiTheme="minorHAnsi"/>
          <w:sz w:val="22"/>
          <w:szCs w:val="22"/>
        </w:rPr>
        <w:t xml:space="preserve">bre la inversión rural proponen </w:t>
      </w:r>
      <w:r w:rsidR="002D3562" w:rsidRPr="008B5F29">
        <w:rPr>
          <w:rFonts w:asciiTheme="minorHAnsi" w:hAnsiTheme="minorHAnsi"/>
          <w:sz w:val="22"/>
          <w:szCs w:val="22"/>
        </w:rPr>
        <w:t>pro</w:t>
      </w:r>
      <w:r w:rsidR="009778D5">
        <w:rPr>
          <w:rFonts w:asciiTheme="minorHAnsi" w:hAnsiTheme="minorHAnsi"/>
          <w:sz w:val="22"/>
          <w:szCs w:val="22"/>
        </w:rPr>
        <w:t>piciar una inversión en “combos</w:t>
      </w:r>
      <w:r w:rsidR="002D3562" w:rsidRPr="008B5F29">
        <w:rPr>
          <w:rFonts w:asciiTheme="minorHAnsi" w:hAnsiTheme="minorHAnsi"/>
          <w:sz w:val="22"/>
          <w:szCs w:val="22"/>
        </w:rPr>
        <w:t>”,</w:t>
      </w:r>
      <w:r w:rsidR="00F97FFA">
        <w:rPr>
          <w:rFonts w:asciiTheme="minorHAnsi" w:hAnsiTheme="minorHAnsi"/>
          <w:sz w:val="22"/>
          <w:szCs w:val="22"/>
        </w:rPr>
        <w:t xml:space="preserve"> </w:t>
      </w:r>
      <w:r w:rsidR="002D3562" w:rsidRPr="008B5F29">
        <w:rPr>
          <w:rFonts w:asciiTheme="minorHAnsi" w:hAnsiTheme="minorHAnsi"/>
          <w:sz w:val="22"/>
          <w:szCs w:val="22"/>
        </w:rPr>
        <w:t>en vez de realizar inversiones individuales es</w:t>
      </w:r>
      <w:r w:rsidR="003708FA">
        <w:rPr>
          <w:rFonts w:asciiTheme="minorHAnsi" w:hAnsiTheme="minorHAnsi"/>
          <w:sz w:val="22"/>
          <w:szCs w:val="22"/>
        </w:rPr>
        <w:t xml:space="preserve"> sectores y tiempos diferentes.</w:t>
      </w:r>
    </w:p>
    <w:p w14:paraId="46E831A1" w14:textId="77777777" w:rsidR="00E300A8" w:rsidRDefault="00E300A8" w:rsidP="00E300A8">
      <w:pPr>
        <w:shd w:val="clear" w:color="auto" w:fill="FFFFFF"/>
        <w:spacing w:after="0" w:line="360" w:lineRule="auto"/>
        <w:jc w:val="both"/>
        <w:rPr>
          <w:rFonts w:eastAsia="Times New Roman" w:cs="Times New Roman"/>
          <w:color w:val="231F20"/>
          <w:bdr w:val="none" w:sz="0" w:space="0" w:color="auto" w:frame="1"/>
          <w:lang w:eastAsia="es-PE"/>
        </w:rPr>
      </w:pPr>
    </w:p>
    <w:p w14:paraId="54C4CDFF" w14:textId="77777777" w:rsidR="002D3562" w:rsidRPr="0002247F" w:rsidRDefault="0002247F" w:rsidP="0002247F">
      <w:pPr>
        <w:shd w:val="clear" w:color="auto" w:fill="FFFFFF"/>
        <w:spacing w:after="0" w:line="360" w:lineRule="auto"/>
        <w:jc w:val="both"/>
        <w:rPr>
          <w:rFonts w:eastAsia="Times New Roman" w:cs="Arial"/>
          <w:color w:val="000000"/>
          <w:lang w:eastAsia="es-PE"/>
        </w:rPr>
      </w:pPr>
      <w:r>
        <w:rPr>
          <w:rFonts w:eastAsia="Times New Roman" w:cs="Times New Roman"/>
          <w:color w:val="231F20"/>
          <w:bdr w:val="none" w:sz="0" w:space="0" w:color="auto" w:frame="1"/>
          <w:lang w:eastAsia="es-PE"/>
        </w:rPr>
        <w:t>Asimismo, la   EPG UP (2015)</w:t>
      </w:r>
      <w:r w:rsidR="00E300A8" w:rsidRPr="008B5F29">
        <w:rPr>
          <w:rFonts w:eastAsia="Times New Roman" w:cs="Times New Roman"/>
          <w:color w:val="231F20"/>
          <w:bdr w:val="none" w:sz="0" w:space="0" w:color="auto" w:frame="1"/>
          <w:lang w:eastAsia="es-PE"/>
        </w:rPr>
        <w:t> propone</w:t>
      </w:r>
      <w:r>
        <w:rPr>
          <w:rFonts w:eastAsia="Times New Roman" w:cs="Times New Roman"/>
          <w:color w:val="231F20"/>
          <w:bdr w:val="none" w:sz="0" w:space="0" w:color="auto" w:frame="1"/>
          <w:lang w:eastAsia="es-PE"/>
        </w:rPr>
        <w:t>,</w:t>
      </w:r>
      <w:r w:rsidR="00E300A8" w:rsidRPr="008B5F29">
        <w:rPr>
          <w:rFonts w:eastAsia="Times New Roman" w:cs="Times New Roman"/>
          <w:color w:val="231F20"/>
          <w:bdr w:val="none" w:sz="0" w:space="0" w:color="auto" w:frame="1"/>
          <w:lang w:eastAsia="es-PE"/>
        </w:rPr>
        <w:t> hacer efectivo un adelanto de canon para la ejecución</w:t>
      </w:r>
      <w:r>
        <w:rPr>
          <w:rFonts w:eastAsia="Times New Roman" w:cs="Times New Roman"/>
          <w:color w:val="231F20"/>
          <w:bdr w:val="none" w:sz="0" w:space="0" w:color="auto" w:frame="1"/>
          <w:lang w:eastAsia="es-PE"/>
        </w:rPr>
        <w:t xml:space="preserve"> </w:t>
      </w:r>
      <w:r w:rsidR="00E300A8" w:rsidRPr="008B5F29">
        <w:rPr>
          <w:rFonts w:eastAsia="Times New Roman" w:cs="Times New Roman"/>
          <w:color w:val="231F20"/>
          <w:bdr w:val="none" w:sz="0" w:space="0" w:color="auto" w:frame="1"/>
          <w:lang w:eastAsia="es-PE"/>
        </w:rPr>
        <w:t>de proyectos de infraestructura pública y, al mismo tiempo, generar impactos positivos de</w:t>
      </w:r>
      <w:r w:rsidR="00E300A8">
        <w:rPr>
          <w:rFonts w:eastAsia="Times New Roman" w:cs="Arial"/>
          <w:color w:val="000000"/>
          <w:lang w:eastAsia="es-PE"/>
        </w:rPr>
        <w:t xml:space="preserve"> </w:t>
      </w:r>
      <w:r w:rsidR="00E300A8" w:rsidRPr="008B5F29">
        <w:rPr>
          <w:rFonts w:eastAsia="Times New Roman" w:cs="Times New Roman"/>
          <w:color w:val="231F20"/>
          <w:bdr w:val="none" w:sz="0" w:space="0" w:color="auto" w:frame="1"/>
          <w:lang w:eastAsia="es-PE"/>
        </w:rPr>
        <w:t xml:space="preserve">manera anticipada por la puesta en operación de los proyectos minero-energéticos </w:t>
      </w:r>
      <w:r w:rsidR="00F97FFA">
        <w:rPr>
          <w:rFonts w:eastAsia="Times New Roman" w:cs="Times New Roman"/>
          <w:color w:val="231F20"/>
          <w:bdr w:val="none" w:sz="0" w:space="0" w:color="auto" w:frame="1"/>
          <w:lang w:eastAsia="es-PE"/>
        </w:rPr>
        <w:t>sobre la población relacionada directa e indirectamente</w:t>
      </w:r>
      <w:r w:rsidR="00E300A8" w:rsidRPr="008B5F29">
        <w:rPr>
          <w:rFonts w:eastAsia="Times New Roman" w:cs="Times New Roman"/>
          <w:color w:val="231F20"/>
          <w:bdr w:val="none" w:sz="0" w:space="0" w:color="auto" w:frame="1"/>
          <w:lang w:eastAsia="es-PE"/>
        </w:rPr>
        <w:t xml:space="preserve"> y sobre la población de inte</w:t>
      </w:r>
      <w:r>
        <w:rPr>
          <w:rFonts w:eastAsia="Times New Roman" w:cs="Times New Roman"/>
          <w:color w:val="231F20"/>
          <w:bdr w:val="none" w:sz="0" w:space="0" w:color="auto" w:frame="1"/>
          <w:lang w:eastAsia="es-PE"/>
        </w:rPr>
        <w:t>rés.</w:t>
      </w:r>
    </w:p>
    <w:p w14:paraId="1D1F87AE" w14:textId="77777777" w:rsidR="00E300A8" w:rsidRPr="008B5F29" w:rsidRDefault="00E300A8" w:rsidP="008B5F29">
      <w:pPr>
        <w:pStyle w:val="Default"/>
        <w:spacing w:line="360" w:lineRule="auto"/>
        <w:rPr>
          <w:rFonts w:asciiTheme="minorHAnsi" w:hAnsiTheme="minorHAnsi"/>
          <w:sz w:val="22"/>
          <w:szCs w:val="22"/>
        </w:rPr>
      </w:pPr>
    </w:p>
    <w:p w14:paraId="5DA4E218" w14:textId="77777777" w:rsidR="00EB42D0" w:rsidRDefault="00201B03" w:rsidP="00C32BCE">
      <w:pPr>
        <w:pStyle w:val="Default"/>
        <w:spacing w:line="360" w:lineRule="auto"/>
        <w:jc w:val="both"/>
        <w:rPr>
          <w:rStyle w:val="a"/>
          <w:rFonts w:asciiTheme="minorHAnsi" w:hAnsiTheme="minorHAnsi"/>
          <w:color w:val="231F20"/>
          <w:sz w:val="22"/>
          <w:szCs w:val="22"/>
          <w:bdr w:val="none" w:sz="0" w:space="0" w:color="auto" w:frame="1"/>
          <w:shd w:val="clear" w:color="auto" w:fill="FFFFFF"/>
        </w:rPr>
      </w:pPr>
      <w:r w:rsidRPr="008B5F29">
        <w:rPr>
          <w:rStyle w:val="a"/>
          <w:rFonts w:asciiTheme="minorHAnsi" w:hAnsiTheme="minorHAnsi"/>
          <w:color w:val="231F20"/>
          <w:sz w:val="22"/>
          <w:szCs w:val="22"/>
          <w:bdr w:val="none" w:sz="0" w:space="0" w:color="auto" w:frame="1"/>
          <w:shd w:val="clear" w:color="auto" w:fill="FFFFFF"/>
        </w:rPr>
        <w:t>Por último</w:t>
      </w:r>
      <w:r w:rsidR="00B94E70">
        <w:rPr>
          <w:rStyle w:val="a"/>
          <w:rFonts w:asciiTheme="minorHAnsi" w:hAnsiTheme="minorHAnsi"/>
          <w:color w:val="231F20"/>
          <w:sz w:val="22"/>
          <w:szCs w:val="22"/>
          <w:bdr w:val="none" w:sz="0" w:space="0" w:color="auto" w:frame="1"/>
          <w:shd w:val="clear" w:color="auto" w:fill="FFFFFF"/>
        </w:rPr>
        <w:t xml:space="preserve">, </w:t>
      </w:r>
      <w:r w:rsidR="00207BCC">
        <w:rPr>
          <w:rStyle w:val="a"/>
          <w:rFonts w:asciiTheme="minorHAnsi" w:hAnsiTheme="minorHAnsi"/>
          <w:color w:val="231F20"/>
          <w:sz w:val="22"/>
          <w:szCs w:val="22"/>
          <w:bdr w:val="none" w:sz="0" w:space="0" w:color="auto" w:frame="1"/>
          <w:shd w:val="clear" w:color="auto" w:fill="FFFFFF"/>
        </w:rPr>
        <w:t>recomienda</w:t>
      </w:r>
      <w:r w:rsidR="00B94E70">
        <w:rPr>
          <w:rStyle w:val="a"/>
          <w:rFonts w:asciiTheme="minorHAnsi" w:hAnsiTheme="minorHAnsi"/>
          <w:color w:val="231F20"/>
          <w:sz w:val="22"/>
          <w:szCs w:val="22"/>
          <w:bdr w:val="none" w:sz="0" w:space="0" w:color="auto" w:frame="1"/>
          <w:shd w:val="clear" w:color="auto" w:fill="FFFFFF"/>
        </w:rPr>
        <w:t>n</w:t>
      </w:r>
      <w:r w:rsidR="00207BCC">
        <w:rPr>
          <w:rStyle w:val="a"/>
          <w:rFonts w:asciiTheme="minorHAnsi" w:hAnsiTheme="minorHAnsi"/>
          <w:color w:val="231F20"/>
          <w:sz w:val="22"/>
          <w:szCs w:val="22"/>
          <w:bdr w:val="none" w:sz="0" w:space="0" w:color="auto" w:frame="1"/>
          <w:shd w:val="clear" w:color="auto" w:fill="FFFFFF"/>
        </w:rPr>
        <w:t xml:space="preserve"> que el Estado  en  sus  distintos niveles de gobierno  </w:t>
      </w:r>
      <w:r w:rsidR="006C53B1" w:rsidRPr="008B5F29">
        <w:rPr>
          <w:rStyle w:val="a"/>
          <w:rFonts w:asciiTheme="minorHAnsi" w:hAnsiTheme="minorHAnsi"/>
          <w:color w:val="231F20"/>
          <w:sz w:val="22"/>
          <w:szCs w:val="22"/>
          <w:bdr w:val="none" w:sz="0" w:space="0" w:color="auto" w:frame="1"/>
          <w:shd w:val="clear" w:color="auto" w:fill="FFFFFF"/>
        </w:rPr>
        <w:t>pueda</w:t>
      </w:r>
      <w:r w:rsidRPr="008B5F29">
        <w:rPr>
          <w:rStyle w:val="a"/>
          <w:rFonts w:asciiTheme="minorHAnsi" w:hAnsiTheme="minorHAnsi"/>
          <w:color w:val="231F20"/>
          <w:sz w:val="22"/>
          <w:szCs w:val="22"/>
          <w:bdr w:val="none" w:sz="0" w:space="0" w:color="auto" w:frame="1"/>
          <w:shd w:val="clear" w:color="auto" w:fill="FFFFFF"/>
        </w:rPr>
        <w:t xml:space="preserve"> financiar la ejecución de proyectos de infraestructura a través de ende</w:t>
      </w:r>
      <w:r w:rsidR="00732A09">
        <w:rPr>
          <w:rStyle w:val="a"/>
          <w:rFonts w:asciiTheme="minorHAnsi" w:hAnsiTheme="minorHAnsi"/>
          <w:color w:val="231F20"/>
          <w:sz w:val="22"/>
          <w:szCs w:val="22"/>
          <w:bdr w:val="none" w:sz="0" w:space="0" w:color="auto" w:frame="1"/>
          <w:shd w:val="clear" w:color="auto" w:fill="FFFFFF"/>
        </w:rPr>
        <w:t>udamiento. En este sentido</w:t>
      </w:r>
      <w:r w:rsidR="00207BCC">
        <w:rPr>
          <w:rStyle w:val="a"/>
          <w:rFonts w:asciiTheme="minorHAnsi" w:hAnsiTheme="minorHAnsi"/>
          <w:color w:val="231F20"/>
          <w:sz w:val="22"/>
          <w:szCs w:val="22"/>
          <w:bdr w:val="none" w:sz="0" w:space="0" w:color="auto" w:frame="1"/>
          <w:shd w:val="clear" w:color="auto" w:fill="FFFFFF"/>
        </w:rPr>
        <w:t>, la</w:t>
      </w:r>
      <w:r w:rsidRPr="008B5F29">
        <w:rPr>
          <w:rStyle w:val="a"/>
          <w:rFonts w:asciiTheme="minorHAnsi" w:hAnsiTheme="minorHAnsi"/>
          <w:color w:val="231F20"/>
          <w:sz w:val="22"/>
          <w:szCs w:val="22"/>
          <w:bdr w:val="none" w:sz="0" w:space="0" w:color="auto" w:frame="1"/>
          <w:shd w:val="clear" w:color="auto" w:fill="FFFFFF"/>
        </w:rPr>
        <w:t xml:space="preserve"> CEPAL</w:t>
      </w:r>
      <w:r w:rsidRPr="008B5F29">
        <w:rPr>
          <w:rStyle w:val="apple-converted-space"/>
          <w:rFonts w:asciiTheme="minorHAnsi" w:hAnsiTheme="minorHAnsi"/>
          <w:color w:val="231F20"/>
          <w:sz w:val="22"/>
          <w:szCs w:val="22"/>
          <w:bdr w:val="none" w:sz="0" w:space="0" w:color="auto" w:frame="1"/>
          <w:shd w:val="clear" w:color="auto" w:fill="FFFFFF"/>
        </w:rPr>
        <w:t> </w:t>
      </w:r>
      <w:r w:rsidR="00C32BCE">
        <w:rPr>
          <w:rStyle w:val="l6"/>
          <w:rFonts w:asciiTheme="minorHAnsi" w:hAnsiTheme="minorHAnsi"/>
          <w:color w:val="231F20"/>
          <w:sz w:val="22"/>
          <w:szCs w:val="22"/>
          <w:bdr w:val="none" w:sz="0" w:space="0" w:color="auto" w:frame="1"/>
          <w:shd w:val="clear" w:color="auto" w:fill="FFFFFF"/>
        </w:rPr>
        <w:t>(2015) sostiene</w:t>
      </w:r>
      <w:r w:rsidR="00E55924">
        <w:rPr>
          <w:rStyle w:val="l6"/>
          <w:rFonts w:asciiTheme="minorHAnsi" w:hAnsiTheme="minorHAnsi"/>
          <w:color w:val="231F20"/>
          <w:sz w:val="22"/>
          <w:szCs w:val="22"/>
          <w:bdr w:val="none" w:sz="0" w:space="0" w:color="auto" w:frame="1"/>
          <w:shd w:val="clear" w:color="auto" w:fill="FFFFFF"/>
        </w:rPr>
        <w:t xml:space="preserve"> que</w:t>
      </w:r>
      <w:r w:rsidR="00B94E70">
        <w:rPr>
          <w:rStyle w:val="l6"/>
          <w:rFonts w:asciiTheme="minorHAnsi" w:hAnsiTheme="minorHAnsi"/>
          <w:color w:val="231F20"/>
          <w:sz w:val="22"/>
          <w:szCs w:val="22"/>
          <w:bdr w:val="none" w:sz="0" w:space="0" w:color="auto" w:frame="1"/>
          <w:shd w:val="clear" w:color="auto" w:fill="FFFFFF"/>
        </w:rPr>
        <w:t>,</w:t>
      </w:r>
      <w:r w:rsidRPr="008B5F29">
        <w:rPr>
          <w:rStyle w:val="l6"/>
          <w:rFonts w:asciiTheme="minorHAnsi" w:hAnsiTheme="minorHAnsi"/>
          <w:color w:val="231F20"/>
          <w:sz w:val="22"/>
          <w:szCs w:val="22"/>
          <w:bdr w:val="none" w:sz="0" w:space="0" w:color="auto" w:frame="1"/>
          <w:shd w:val="clear" w:color="auto" w:fill="FFFFFF"/>
        </w:rPr>
        <w:t xml:space="preserve"> los países en los que el</w:t>
      </w:r>
      <w:r w:rsidRPr="008B5F29">
        <w:rPr>
          <w:rStyle w:val="apple-converted-space"/>
          <w:rFonts w:asciiTheme="minorHAnsi" w:hAnsiTheme="minorHAnsi"/>
          <w:color w:val="231F20"/>
          <w:sz w:val="22"/>
          <w:szCs w:val="22"/>
          <w:bdr w:val="none" w:sz="0" w:space="0" w:color="auto" w:frame="1"/>
          <w:shd w:val="clear" w:color="auto" w:fill="FFFFFF"/>
        </w:rPr>
        <w:t> </w:t>
      </w:r>
      <w:r w:rsidRPr="008B5F29">
        <w:rPr>
          <w:rStyle w:val="l6"/>
          <w:rFonts w:asciiTheme="minorHAnsi" w:hAnsiTheme="minorHAnsi"/>
          <w:color w:val="231F20"/>
          <w:sz w:val="22"/>
          <w:szCs w:val="22"/>
          <w:bdr w:val="none" w:sz="0" w:space="0" w:color="auto" w:frame="1"/>
          <w:shd w:val="clear" w:color="auto" w:fill="FFFFFF"/>
        </w:rPr>
        <w:t xml:space="preserve">endeudamiento público </w:t>
      </w:r>
      <w:r w:rsidR="00B94E70">
        <w:rPr>
          <w:rStyle w:val="a"/>
          <w:rFonts w:asciiTheme="minorHAnsi" w:hAnsiTheme="minorHAnsi"/>
          <w:color w:val="231F20"/>
          <w:sz w:val="22"/>
          <w:szCs w:val="22"/>
          <w:bdr w:val="none" w:sz="0" w:space="0" w:color="auto" w:frame="1"/>
          <w:shd w:val="clear" w:color="auto" w:fill="FFFFFF"/>
        </w:rPr>
        <w:t>es bajo,</w:t>
      </w:r>
      <w:r w:rsidR="00C32BCE">
        <w:rPr>
          <w:rStyle w:val="a"/>
          <w:rFonts w:asciiTheme="minorHAnsi" w:hAnsiTheme="minorHAnsi"/>
          <w:color w:val="231F20"/>
          <w:sz w:val="22"/>
          <w:szCs w:val="22"/>
          <w:bdr w:val="none" w:sz="0" w:space="0" w:color="auto" w:frame="1"/>
          <w:shd w:val="clear" w:color="auto" w:fill="FFFFFF"/>
        </w:rPr>
        <w:t xml:space="preserve"> no </w:t>
      </w:r>
      <w:r w:rsidRPr="008B5F29">
        <w:rPr>
          <w:rStyle w:val="a"/>
          <w:rFonts w:asciiTheme="minorHAnsi" w:hAnsiTheme="minorHAnsi"/>
          <w:color w:val="231F20"/>
          <w:sz w:val="22"/>
          <w:szCs w:val="22"/>
          <w:bdr w:val="none" w:sz="0" w:space="0" w:color="auto" w:frame="1"/>
          <w:shd w:val="clear" w:color="auto" w:fill="FFFFFF"/>
        </w:rPr>
        <w:t>están aprovechando este espacio fiscal para enfrentar la desaceleración, procurando dinamizar la inversión pú</w:t>
      </w:r>
      <w:r w:rsidR="00C32BCE">
        <w:rPr>
          <w:rStyle w:val="a"/>
          <w:rFonts w:asciiTheme="minorHAnsi" w:hAnsiTheme="minorHAnsi"/>
          <w:color w:val="231F20"/>
          <w:sz w:val="22"/>
          <w:szCs w:val="22"/>
          <w:bdr w:val="none" w:sz="0" w:space="0" w:color="auto" w:frame="1"/>
          <w:shd w:val="clear" w:color="auto" w:fill="FFFFFF"/>
        </w:rPr>
        <w:t>blica y privada.</w:t>
      </w:r>
    </w:p>
    <w:p w14:paraId="1982A24A" w14:textId="77777777" w:rsidR="00803E2A" w:rsidRDefault="00803E2A" w:rsidP="002A329C">
      <w:pPr>
        <w:autoSpaceDE w:val="0"/>
        <w:autoSpaceDN w:val="0"/>
        <w:adjustRightInd w:val="0"/>
        <w:spacing w:after="0" w:line="360" w:lineRule="auto"/>
        <w:jc w:val="both"/>
        <w:rPr>
          <w:rFonts w:cs="BloggerSans-LightItalic"/>
          <w:iCs/>
          <w:color w:val="404041"/>
        </w:rPr>
      </w:pPr>
    </w:p>
    <w:p w14:paraId="4398B61E" w14:textId="77777777" w:rsidR="00DF4E1F" w:rsidRPr="00732A09" w:rsidRDefault="00732A09" w:rsidP="002A329C">
      <w:pPr>
        <w:autoSpaceDE w:val="0"/>
        <w:autoSpaceDN w:val="0"/>
        <w:adjustRightInd w:val="0"/>
        <w:spacing w:after="0" w:line="360" w:lineRule="auto"/>
        <w:jc w:val="both"/>
        <w:rPr>
          <w:rFonts w:cs="Calibri"/>
        </w:rPr>
      </w:pPr>
      <w:r>
        <w:rPr>
          <w:rFonts w:ascii="Calibri" w:hAnsi="Calibri" w:cs="Calibri"/>
        </w:rPr>
        <w:lastRenderedPageBreak/>
        <w:t>El actual gobierno del presidente  Kuczynsky se ha propuesto r</w:t>
      </w:r>
      <w:r w:rsidRPr="00160B31">
        <w:rPr>
          <w:rFonts w:cs="Calibri"/>
        </w:rPr>
        <w:t>educir la brecha de</w:t>
      </w:r>
      <w:r>
        <w:rPr>
          <w:rFonts w:cs="Calibri"/>
        </w:rPr>
        <w:t xml:space="preserve"> infraestructura social  a nivel nacional en 50% al 2021 y pasar de 4,5% a 6,2% de PBI en inversión en </w:t>
      </w:r>
      <w:r w:rsidRPr="00160B31">
        <w:rPr>
          <w:rFonts w:cs="Calibri"/>
        </w:rPr>
        <w:t>infraestructura</w:t>
      </w:r>
      <w:r>
        <w:rPr>
          <w:rFonts w:cs="Calibri"/>
        </w:rPr>
        <w:t xml:space="preserve">, lo que constituye una oportunidad  de </w:t>
      </w:r>
      <w:r w:rsidRPr="00C401A0">
        <w:rPr>
          <w:rFonts w:cs="TimesNewRomanPSMT"/>
        </w:rPr>
        <w:t>nuevas inversiones. A nivel Regional, se hace necesario</w:t>
      </w:r>
      <w:r w:rsidR="00B94E70" w:rsidRPr="00C401A0">
        <w:rPr>
          <w:rFonts w:cs="TimesNewRomanPSMT"/>
        </w:rPr>
        <w:t xml:space="preserve"> contar con un “plan regional  de i</w:t>
      </w:r>
      <w:r w:rsidR="002E7521" w:rsidRPr="00C401A0">
        <w:rPr>
          <w:rFonts w:cs="TimesNewRomanPSMT"/>
        </w:rPr>
        <w:t>nfraestructura</w:t>
      </w:r>
      <w:r w:rsidR="00B94E70" w:rsidRPr="00C401A0">
        <w:rPr>
          <w:rFonts w:cs="TimesNewRomanPSMT"/>
        </w:rPr>
        <w:t>”</w:t>
      </w:r>
      <w:r w:rsidR="002E7521" w:rsidRPr="00C401A0">
        <w:rPr>
          <w:rFonts w:cs="TimesNewRomanPSMT"/>
        </w:rPr>
        <w:t xml:space="preserve">  de largo plazo</w:t>
      </w:r>
      <w:r w:rsidR="00B94E70" w:rsidRPr="00C401A0">
        <w:rPr>
          <w:rFonts w:cs="TimesNewRomanPSMT"/>
        </w:rPr>
        <w:t xml:space="preserve"> articulado al “plan nacional de i</w:t>
      </w:r>
      <w:r w:rsidRPr="00C401A0">
        <w:rPr>
          <w:rFonts w:cs="TimesNewRomanPSMT"/>
        </w:rPr>
        <w:t>nfraestructura</w:t>
      </w:r>
      <w:r w:rsidR="00B94E70" w:rsidRPr="00C401A0">
        <w:rPr>
          <w:rFonts w:cs="TimesNewRomanPSMT"/>
        </w:rPr>
        <w:t>”</w:t>
      </w:r>
      <w:r w:rsidRPr="00C401A0">
        <w:rPr>
          <w:rFonts w:cs="TimesNewRomanPSMT"/>
        </w:rPr>
        <w:t xml:space="preserve">, </w:t>
      </w:r>
      <w:r w:rsidR="002E7521" w:rsidRPr="00C401A0">
        <w:rPr>
          <w:rFonts w:cs="TimesNewRomanPSMT"/>
        </w:rPr>
        <w:t xml:space="preserve"> con el objetivo de conocer cuál es el orden de magnitud de la inversión necesaria para cub</w:t>
      </w:r>
      <w:r w:rsidRPr="00C401A0">
        <w:rPr>
          <w:rFonts w:cs="TimesNewRomanPSMT"/>
        </w:rPr>
        <w:t>rir la brecha</w:t>
      </w:r>
      <w:r w:rsidR="002E7521" w:rsidRPr="00C401A0">
        <w:rPr>
          <w:rFonts w:cs="TimesNewRomanPSMT"/>
        </w:rPr>
        <w:t xml:space="preserve"> en los diferentes sectores como:  energía, agua y saneamiento, telecomunicaciones, transportes, infraestructura hidráulica, educación y salud, que permita sostener el crecimiento de la</w:t>
      </w:r>
      <w:r w:rsidR="00B94E70" w:rsidRPr="00C401A0">
        <w:rPr>
          <w:rFonts w:cs="TimesNewRomanPSMT"/>
        </w:rPr>
        <w:t xml:space="preserve"> r</w:t>
      </w:r>
      <w:r w:rsidR="002E7521" w:rsidRPr="00C401A0">
        <w:rPr>
          <w:rFonts w:cs="TimesNewRomanPSMT"/>
        </w:rPr>
        <w:t>egión  con mayor conectividad, así como mejorar la calidad de vida de</w:t>
      </w:r>
      <w:r w:rsidR="0007565E" w:rsidRPr="00C401A0">
        <w:rPr>
          <w:rFonts w:cs="TimesNewRomanPSMT"/>
        </w:rPr>
        <w:t xml:space="preserve"> la población</w:t>
      </w:r>
      <w:r w:rsidRPr="00C401A0">
        <w:rPr>
          <w:rFonts w:cs="TimesNewRomanPSMT"/>
        </w:rPr>
        <w:t>.</w:t>
      </w:r>
    </w:p>
    <w:p w14:paraId="548F7071" w14:textId="77777777" w:rsidR="00207BCC" w:rsidRPr="00207BCC" w:rsidRDefault="00207BCC" w:rsidP="00207BCC">
      <w:pPr>
        <w:autoSpaceDE w:val="0"/>
        <w:autoSpaceDN w:val="0"/>
        <w:adjustRightInd w:val="0"/>
        <w:spacing w:after="0" w:line="360" w:lineRule="auto"/>
        <w:jc w:val="both"/>
        <w:rPr>
          <w:rFonts w:cs="Calibri"/>
        </w:rPr>
      </w:pPr>
    </w:p>
    <w:p w14:paraId="1DD98D33" w14:textId="77777777" w:rsidR="0035358C" w:rsidRPr="008B5F29" w:rsidRDefault="0035358C" w:rsidP="008B5F29">
      <w:pPr>
        <w:spacing w:line="360" w:lineRule="auto"/>
        <w:jc w:val="both"/>
        <w:rPr>
          <w:b/>
        </w:rPr>
      </w:pPr>
      <w:r w:rsidRPr="008B5F29">
        <w:rPr>
          <w:b/>
        </w:rPr>
        <w:t>Algunas prioridades</w:t>
      </w:r>
      <w:r w:rsidR="004E239A" w:rsidRPr="008B5F29">
        <w:rPr>
          <w:b/>
        </w:rPr>
        <w:t xml:space="preserve"> Regionales</w:t>
      </w:r>
    </w:p>
    <w:p w14:paraId="3E0A9174" w14:textId="77777777" w:rsidR="0035358C" w:rsidRPr="008B5F29" w:rsidRDefault="00DC76AA" w:rsidP="008B5F29">
      <w:pPr>
        <w:spacing w:line="360" w:lineRule="auto"/>
        <w:jc w:val="both"/>
      </w:pPr>
      <w:r w:rsidRPr="008B5F29">
        <w:t>Para</w:t>
      </w:r>
      <w:r w:rsidR="00F76F55">
        <w:t xml:space="preserve"> mej</w:t>
      </w:r>
      <w:r w:rsidR="00607D8A">
        <w:t>orar la calidad del gasto</w:t>
      </w:r>
      <w:r w:rsidRPr="008B5F29">
        <w:t xml:space="preserve">, se requiere tener claridad de cuáles  deben </w:t>
      </w:r>
      <w:r w:rsidR="00F76F55">
        <w:t>ser las principales prioridades</w:t>
      </w:r>
      <w:r w:rsidRPr="008B5F29">
        <w:t xml:space="preserve"> </w:t>
      </w:r>
      <w:r w:rsidR="009778D5">
        <w:t>regionales,</w:t>
      </w:r>
      <w:r w:rsidR="005E682B" w:rsidRPr="008B5F29">
        <w:t xml:space="preserve"> esto es una tarea</w:t>
      </w:r>
      <w:r w:rsidR="009778D5">
        <w:t xml:space="preserve"> pendiente</w:t>
      </w:r>
      <w:r w:rsidR="005E682B" w:rsidRPr="008B5F29">
        <w:t xml:space="preserve"> que cor</w:t>
      </w:r>
      <w:r w:rsidR="004931AD">
        <w:t>responder ser definido por los c</w:t>
      </w:r>
      <w:r w:rsidR="005E682B" w:rsidRPr="008B5F29">
        <w:t>ajamarquinos</w:t>
      </w:r>
      <w:r w:rsidR="00732A09">
        <w:t xml:space="preserve"> con sus instituciones</w:t>
      </w:r>
      <w:r w:rsidR="005E682B" w:rsidRPr="008B5F29">
        <w:t xml:space="preserve">, de allí la importancia de revisar y actualizar el </w:t>
      </w:r>
      <w:r w:rsidR="004931AD">
        <w:t>“plan de desarrollo r</w:t>
      </w:r>
      <w:r w:rsidR="005E682B" w:rsidRPr="008B5F29">
        <w:t>egional  Concertado</w:t>
      </w:r>
      <w:r w:rsidR="004931AD">
        <w:t>”</w:t>
      </w:r>
      <w:r w:rsidR="005E682B" w:rsidRPr="008B5F29">
        <w:t xml:space="preserve"> (PDRC)  a través de un espacio público </w:t>
      </w:r>
      <w:r w:rsidR="00607D8A">
        <w:t>“vivo”</w:t>
      </w:r>
      <w:r w:rsidR="00E525EF" w:rsidRPr="008B5F29">
        <w:t xml:space="preserve"> que permita tener </w:t>
      </w:r>
      <w:r w:rsidR="005E682B" w:rsidRPr="008B5F29">
        <w:t>un diálogo</w:t>
      </w:r>
      <w:r w:rsidR="00E525EF" w:rsidRPr="008B5F29">
        <w:t xml:space="preserve"> permanente</w:t>
      </w:r>
      <w:r w:rsidR="005E682B" w:rsidRPr="008B5F29">
        <w:t xml:space="preserve"> </w:t>
      </w:r>
      <w:r w:rsidR="0028176C" w:rsidRPr="008B5F29">
        <w:t xml:space="preserve"> con los principales actores y ciudadanos del territorio.</w:t>
      </w:r>
    </w:p>
    <w:p w14:paraId="367AE443" w14:textId="77777777" w:rsidR="00082043" w:rsidRPr="00C401A0" w:rsidRDefault="0028176C" w:rsidP="00C401A0">
      <w:pPr>
        <w:autoSpaceDE w:val="0"/>
        <w:autoSpaceDN w:val="0"/>
        <w:adjustRightInd w:val="0"/>
        <w:spacing w:after="0" w:line="360" w:lineRule="auto"/>
        <w:jc w:val="both"/>
        <w:rPr>
          <w:rFonts w:cs="TimesNewRomanPSMT"/>
        </w:rPr>
      </w:pPr>
      <w:r w:rsidRPr="00C401A0">
        <w:rPr>
          <w:rFonts w:cs="TimesNewRomanPSMT"/>
        </w:rPr>
        <w:t>En este sent</w:t>
      </w:r>
      <w:r w:rsidR="004931AD" w:rsidRPr="00C401A0">
        <w:rPr>
          <w:rFonts w:cs="TimesNewRomanPSMT"/>
        </w:rPr>
        <w:t>ido, Secada (2016)</w:t>
      </w:r>
      <w:r w:rsidR="00E55924" w:rsidRPr="00C401A0">
        <w:rPr>
          <w:rFonts w:cs="TimesNewRomanPSMT"/>
        </w:rPr>
        <w:t xml:space="preserve"> plantea que</w:t>
      </w:r>
      <w:r w:rsidR="004931AD" w:rsidRPr="00C401A0">
        <w:rPr>
          <w:rFonts w:cs="TimesNewRomanPSMT"/>
        </w:rPr>
        <w:t>,</w:t>
      </w:r>
      <w:r w:rsidRPr="00C401A0">
        <w:rPr>
          <w:rFonts w:cs="TimesNewRomanPSMT"/>
        </w:rPr>
        <w:t xml:space="preserve"> se debe invertir en los niños y en las personas,</w:t>
      </w:r>
      <w:r w:rsidR="004931AD" w:rsidRPr="00C401A0">
        <w:rPr>
          <w:rFonts w:cs="TimesNewRomanPSMT"/>
        </w:rPr>
        <w:t xml:space="preserve"> así como fortalecer al e</w:t>
      </w:r>
      <w:r w:rsidRPr="00C401A0">
        <w:rPr>
          <w:rFonts w:cs="TimesNewRomanPSMT"/>
        </w:rPr>
        <w:t>stado presente en esta zona  con servicio civil, gestión por resultados y</w:t>
      </w:r>
      <w:r w:rsidR="00732A09" w:rsidRPr="00C401A0">
        <w:rPr>
          <w:rFonts w:cs="TimesNewRomanPSMT"/>
        </w:rPr>
        <w:t xml:space="preserve"> rendición de cuentas, así como</w:t>
      </w:r>
      <w:r w:rsidRPr="00C401A0">
        <w:rPr>
          <w:rFonts w:cs="TimesNewRomanPSMT"/>
        </w:rPr>
        <w:t xml:space="preserve"> promover la inversión.</w:t>
      </w:r>
      <w:r w:rsidR="00082043" w:rsidRPr="00C401A0">
        <w:rPr>
          <w:rFonts w:cs="TimesNewRomanPSMT"/>
        </w:rPr>
        <w:t xml:space="preserve"> Además</w:t>
      </w:r>
      <w:r w:rsidR="00732A09" w:rsidRPr="00C401A0">
        <w:rPr>
          <w:rFonts w:cs="TimesNewRomanPSMT"/>
        </w:rPr>
        <w:t>,</w:t>
      </w:r>
      <w:r w:rsidR="00082043" w:rsidRPr="00C401A0">
        <w:rPr>
          <w:rFonts w:cs="TimesNewRomanPSMT"/>
        </w:rPr>
        <w:t xml:space="preserve"> plantea  desarrollar infraestructura rural con Asociaciones Público P</w:t>
      </w:r>
      <w:r w:rsidR="00732A09" w:rsidRPr="00C401A0">
        <w:rPr>
          <w:rFonts w:cs="TimesNewRomanPSMT"/>
        </w:rPr>
        <w:t>rivadas (APP)  bien diseñadas,  como</w:t>
      </w:r>
      <w:r w:rsidR="00082043" w:rsidRPr="00C401A0">
        <w:rPr>
          <w:rFonts w:cs="TimesNewRomanPSMT"/>
        </w:rPr>
        <w:t xml:space="preserve"> cosec</w:t>
      </w:r>
      <w:r w:rsidR="00732A09" w:rsidRPr="00C401A0">
        <w:rPr>
          <w:rFonts w:cs="TimesNewRomanPSMT"/>
        </w:rPr>
        <w:t>ha de agua, micro irrigaciones</w:t>
      </w:r>
      <w:r w:rsidR="00082043" w:rsidRPr="00C401A0">
        <w:rPr>
          <w:rFonts w:cs="TimesNewRomanPSMT"/>
        </w:rPr>
        <w:t xml:space="preserve"> y  buenas semillas para  cultivos permanentes.</w:t>
      </w:r>
    </w:p>
    <w:p w14:paraId="23939F01" w14:textId="77777777" w:rsidR="00707206" w:rsidRDefault="00707206" w:rsidP="00C401A0">
      <w:pPr>
        <w:autoSpaceDE w:val="0"/>
        <w:autoSpaceDN w:val="0"/>
        <w:adjustRightInd w:val="0"/>
        <w:spacing w:after="0" w:line="360" w:lineRule="auto"/>
        <w:jc w:val="both"/>
        <w:rPr>
          <w:rFonts w:cs="TimesNewRomanPSMT"/>
        </w:rPr>
      </w:pPr>
    </w:p>
    <w:p w14:paraId="7147B9D5" w14:textId="77777777" w:rsidR="00607D8A" w:rsidRPr="00C401A0" w:rsidRDefault="00607D8A" w:rsidP="00C401A0">
      <w:pPr>
        <w:autoSpaceDE w:val="0"/>
        <w:autoSpaceDN w:val="0"/>
        <w:adjustRightInd w:val="0"/>
        <w:spacing w:after="0" w:line="360" w:lineRule="auto"/>
        <w:jc w:val="both"/>
        <w:rPr>
          <w:rFonts w:cs="TimesNewRomanPSMT"/>
        </w:rPr>
      </w:pPr>
      <w:r w:rsidRPr="00C401A0">
        <w:rPr>
          <w:rFonts w:cs="TimesNewRomanPSMT"/>
        </w:rPr>
        <w:t>Considero, que una de las principales prioridades a nivel regional constituye la disminución de la pobreza y el cierre de  las principales brechas sociales vinculadas con educación, salud y vivienda, para generar desarrollo humano, para lo cual se debe abordar la problemática estructuralmente buscando una articulación  virtuosa con las políticas económicas.</w:t>
      </w:r>
    </w:p>
    <w:p w14:paraId="67B123BA" w14:textId="77777777" w:rsidR="00607D8A" w:rsidRPr="00C401A0" w:rsidRDefault="00607D8A" w:rsidP="00C401A0">
      <w:pPr>
        <w:autoSpaceDE w:val="0"/>
        <w:autoSpaceDN w:val="0"/>
        <w:adjustRightInd w:val="0"/>
        <w:spacing w:after="0" w:line="360" w:lineRule="auto"/>
        <w:jc w:val="both"/>
        <w:rPr>
          <w:rFonts w:cs="TimesNewRomanPSMT"/>
        </w:rPr>
      </w:pPr>
    </w:p>
    <w:p w14:paraId="11B48072" w14:textId="77777777" w:rsidR="00082043" w:rsidRPr="00C401A0" w:rsidRDefault="00607D8A" w:rsidP="00C401A0">
      <w:pPr>
        <w:autoSpaceDE w:val="0"/>
        <w:autoSpaceDN w:val="0"/>
        <w:adjustRightInd w:val="0"/>
        <w:spacing w:after="0" w:line="360" w:lineRule="auto"/>
        <w:jc w:val="both"/>
        <w:rPr>
          <w:rFonts w:cs="TimesNewRomanPSMT"/>
        </w:rPr>
      </w:pPr>
      <w:r w:rsidRPr="00C401A0">
        <w:rPr>
          <w:rFonts w:cs="TimesNewRomanPSMT"/>
        </w:rPr>
        <w:t>Al respecto, Arnillas (2016)  propone que,  para que exista la posibilidad de disminuir la pobreza se requiere  de un abordaje multidimensional  con políticas integrales  que impliquen a los tres niveles de gobierno con responsabilidades concretas.</w:t>
      </w:r>
    </w:p>
    <w:p w14:paraId="54B06224" w14:textId="77777777" w:rsidR="00607D8A" w:rsidRPr="00C401A0" w:rsidRDefault="00607D8A" w:rsidP="00C401A0">
      <w:pPr>
        <w:autoSpaceDE w:val="0"/>
        <w:autoSpaceDN w:val="0"/>
        <w:adjustRightInd w:val="0"/>
        <w:spacing w:after="0" w:line="360" w:lineRule="auto"/>
        <w:jc w:val="both"/>
        <w:rPr>
          <w:rFonts w:cs="TimesNewRomanPSMT"/>
        </w:rPr>
      </w:pPr>
    </w:p>
    <w:p w14:paraId="0DB1D8EC" w14:textId="77777777" w:rsidR="00E525EF" w:rsidRDefault="00E525EF" w:rsidP="00C401A0">
      <w:pPr>
        <w:autoSpaceDE w:val="0"/>
        <w:autoSpaceDN w:val="0"/>
        <w:adjustRightInd w:val="0"/>
        <w:spacing w:after="0" w:line="360" w:lineRule="auto"/>
        <w:jc w:val="both"/>
        <w:rPr>
          <w:rFonts w:cs="TimesNewRomanPSMT"/>
        </w:rPr>
      </w:pPr>
      <w:r w:rsidRPr="00C401A0">
        <w:rPr>
          <w:rFonts w:cs="TimesNewRomanPSMT"/>
        </w:rPr>
        <w:t xml:space="preserve">Si quisiéramos abordar el problema de la pobreza a partir del enfoque monetario, y tomando las cifras de INEI (2016) la brecha de pobreza, que es el diferencial entre el promedio de gasto de los pobres </w:t>
      </w:r>
      <w:r w:rsidR="00056A50" w:rsidRPr="00C401A0">
        <w:rPr>
          <w:rFonts w:cs="TimesNewRomanPSMT"/>
        </w:rPr>
        <w:t>respecto a la línea de pobreza,</w:t>
      </w:r>
      <w:r w:rsidR="004931AD" w:rsidRPr="00C401A0">
        <w:rPr>
          <w:rFonts w:cs="TimesNewRomanPSMT"/>
        </w:rPr>
        <w:t xml:space="preserve"> </w:t>
      </w:r>
      <w:r w:rsidR="00C04F93" w:rsidRPr="00C401A0">
        <w:rPr>
          <w:rFonts w:cs="TimesNewRomanPSMT"/>
        </w:rPr>
        <w:t xml:space="preserve">que </w:t>
      </w:r>
      <w:r w:rsidR="004931AD" w:rsidRPr="00C401A0">
        <w:rPr>
          <w:rFonts w:cs="TimesNewRomanPSMT"/>
        </w:rPr>
        <w:t xml:space="preserve">según </w:t>
      </w:r>
      <w:r w:rsidR="00056A50" w:rsidRPr="00C401A0">
        <w:rPr>
          <w:rFonts w:cs="TimesNewRomanPSMT"/>
        </w:rPr>
        <w:t xml:space="preserve"> cálculo de </w:t>
      </w:r>
      <w:r w:rsidR="004931AD" w:rsidRPr="00C401A0">
        <w:rPr>
          <w:rFonts w:cs="TimesNewRomanPSMT"/>
        </w:rPr>
        <w:t xml:space="preserve">Arnillas (2016)  para Cajamarca </w:t>
      </w:r>
      <w:r w:rsidRPr="00C401A0">
        <w:rPr>
          <w:rFonts w:cs="TimesNewRomanPSMT"/>
        </w:rPr>
        <w:t>está alrededor de S/ 20 por persona en situac</w:t>
      </w:r>
      <w:r w:rsidR="00C04F93" w:rsidRPr="00C401A0">
        <w:rPr>
          <w:rFonts w:cs="TimesNewRomanPSMT"/>
        </w:rPr>
        <w:t>ión de pobreza,</w:t>
      </w:r>
      <w:r w:rsidR="00056A50" w:rsidRPr="00C401A0">
        <w:rPr>
          <w:rFonts w:cs="TimesNewRomanPSMT"/>
        </w:rPr>
        <w:t xml:space="preserve"> </w:t>
      </w:r>
      <w:r w:rsidRPr="00C401A0">
        <w:rPr>
          <w:rFonts w:cs="TimesNewRomanPSMT"/>
        </w:rPr>
        <w:t xml:space="preserve"> </w:t>
      </w:r>
      <w:r w:rsidR="00C04F93" w:rsidRPr="00C401A0">
        <w:rPr>
          <w:rFonts w:cs="TimesNewRomanPSMT"/>
        </w:rPr>
        <w:t>teniendo en cuenta</w:t>
      </w:r>
      <w:r w:rsidR="00D72D97" w:rsidRPr="00C401A0">
        <w:rPr>
          <w:rFonts w:cs="TimesNewRomanPSMT"/>
        </w:rPr>
        <w:t xml:space="preserve"> que Cajamarca cuenta  al  año 2015</w:t>
      </w:r>
      <w:r w:rsidR="00DD4CCC" w:rsidRPr="00C401A0">
        <w:rPr>
          <w:rFonts w:cs="TimesNewRomanPSMT"/>
        </w:rPr>
        <w:t xml:space="preserve"> </w:t>
      </w:r>
      <w:r w:rsidR="00DD4CCC" w:rsidRPr="00C401A0">
        <w:rPr>
          <w:rFonts w:cs="TimesNewRomanPSMT"/>
        </w:rPr>
        <w:lastRenderedPageBreak/>
        <w:t>con</w:t>
      </w:r>
      <w:r w:rsidR="00D72D97" w:rsidRPr="00C401A0">
        <w:rPr>
          <w:rFonts w:cs="TimesNewRomanPSMT"/>
        </w:rPr>
        <w:t xml:space="preserve"> 1,529,755</w:t>
      </w:r>
      <w:r w:rsidR="00E55924" w:rsidRPr="00C401A0">
        <w:rPr>
          <w:rFonts w:cs="TimesNewRomanPSMT"/>
        </w:rPr>
        <w:t xml:space="preserve"> personas</w:t>
      </w:r>
      <w:r w:rsidR="00732A09" w:rsidRPr="00C401A0">
        <w:rPr>
          <w:rFonts w:cs="TimesNewRomanPSMT"/>
        </w:rPr>
        <w:t xml:space="preserve"> y  que  en e</w:t>
      </w:r>
      <w:r w:rsidR="00D72D97" w:rsidRPr="00C401A0">
        <w:rPr>
          <w:rFonts w:cs="TimesNewRomanPSMT"/>
        </w:rPr>
        <w:t xml:space="preserve">l mismo período el </w:t>
      </w:r>
      <w:r w:rsidR="00FA6930" w:rsidRPr="00C401A0">
        <w:rPr>
          <w:rFonts w:cs="TimesNewRomanPSMT"/>
        </w:rPr>
        <w:t>50.8</w:t>
      </w:r>
      <w:r w:rsidR="00D72D97" w:rsidRPr="00C401A0">
        <w:rPr>
          <w:rFonts w:cs="TimesNewRomanPSMT"/>
        </w:rPr>
        <w:t xml:space="preserve">  % de la población se encuentra en situación de pobreza</w:t>
      </w:r>
      <w:r w:rsidR="00E55924" w:rsidRPr="00C401A0">
        <w:rPr>
          <w:rFonts w:cs="TimesNewRomanPSMT"/>
        </w:rPr>
        <w:t>,</w:t>
      </w:r>
      <w:r w:rsidR="00301EDE" w:rsidRPr="00C401A0">
        <w:rPr>
          <w:rFonts w:cs="TimesNewRomanPSMT"/>
        </w:rPr>
        <w:t xml:space="preserve"> </w:t>
      </w:r>
      <w:r w:rsidR="00D72D97" w:rsidRPr="00C401A0">
        <w:rPr>
          <w:rFonts w:cs="TimesNewRomanPSMT"/>
        </w:rPr>
        <w:t xml:space="preserve"> </w:t>
      </w:r>
      <w:r w:rsidRPr="00C401A0">
        <w:rPr>
          <w:rFonts w:cs="TimesNewRomanPSMT"/>
        </w:rPr>
        <w:t xml:space="preserve"> entonces cerrar la brecha regional de pobreza monetaria costaría aproximadamente </w:t>
      </w:r>
      <w:r w:rsidR="00DD4CCC" w:rsidRPr="00C401A0">
        <w:rPr>
          <w:rFonts w:cs="TimesNewRomanPSMT"/>
        </w:rPr>
        <w:t xml:space="preserve"> S/. </w:t>
      </w:r>
      <w:r w:rsidR="00C04F93" w:rsidRPr="00C401A0">
        <w:rPr>
          <w:rFonts w:cs="TimesNewRomanPSMT"/>
        </w:rPr>
        <w:t>15,542,311</w:t>
      </w:r>
      <w:r w:rsidR="00732A09" w:rsidRPr="00C401A0">
        <w:rPr>
          <w:rFonts w:cs="TimesNewRomanPSMT"/>
        </w:rPr>
        <w:t xml:space="preserve"> mensuales  o</w:t>
      </w:r>
      <w:r w:rsidR="00FA6930" w:rsidRPr="00C401A0">
        <w:rPr>
          <w:rFonts w:cs="TimesNewRomanPSMT"/>
        </w:rPr>
        <w:t xml:space="preserve"> S/. 186</w:t>
      </w:r>
      <w:r w:rsidR="00FE2957" w:rsidRPr="00C401A0">
        <w:rPr>
          <w:rFonts w:cs="TimesNewRomanPSMT"/>
        </w:rPr>
        <w:t>, 507,730</w:t>
      </w:r>
      <w:r w:rsidR="00FA6930" w:rsidRPr="00C401A0">
        <w:rPr>
          <w:rFonts w:cs="TimesNewRomanPSMT"/>
        </w:rPr>
        <w:t xml:space="preserve"> al año</w:t>
      </w:r>
      <w:r w:rsidRPr="00C401A0">
        <w:rPr>
          <w:rFonts w:cs="TimesNewRomanPSMT"/>
        </w:rPr>
        <w:t>, que</w:t>
      </w:r>
      <w:r w:rsidR="00C04F93" w:rsidRPr="00C401A0">
        <w:rPr>
          <w:rFonts w:cs="TimesNewRomanPSMT"/>
        </w:rPr>
        <w:t>,</w:t>
      </w:r>
      <w:r w:rsidRPr="00C401A0">
        <w:rPr>
          <w:rFonts w:cs="TimesNewRomanPSMT"/>
        </w:rPr>
        <w:t xml:space="preserve"> aunque n</w:t>
      </w:r>
      <w:r w:rsidR="00C04F93" w:rsidRPr="00C401A0">
        <w:rPr>
          <w:rFonts w:cs="TimesNewRomanPSMT"/>
        </w:rPr>
        <w:t>o está al alcance del gobierno r</w:t>
      </w:r>
      <w:r w:rsidRPr="00C401A0">
        <w:rPr>
          <w:rFonts w:cs="TimesNewRomanPSMT"/>
        </w:rPr>
        <w:t>egi</w:t>
      </w:r>
      <w:r w:rsidR="00C04F93" w:rsidRPr="00C401A0">
        <w:rPr>
          <w:rFonts w:cs="TimesNewRomanPSMT"/>
        </w:rPr>
        <w:t>onal si podría estarlo para el gobierno n</w:t>
      </w:r>
      <w:r w:rsidRPr="00C401A0">
        <w:rPr>
          <w:rFonts w:cs="TimesNewRomanPSMT"/>
        </w:rPr>
        <w:t>acional</w:t>
      </w:r>
      <w:r w:rsidR="00980F23" w:rsidRPr="00C401A0">
        <w:rPr>
          <w:rFonts w:cs="TimesNewRomanPSMT"/>
        </w:rPr>
        <w:t>.</w:t>
      </w:r>
    </w:p>
    <w:p w14:paraId="7ADB810A" w14:textId="77777777" w:rsidR="00C401A0" w:rsidRPr="00C401A0" w:rsidRDefault="00C401A0" w:rsidP="00C401A0">
      <w:pPr>
        <w:autoSpaceDE w:val="0"/>
        <w:autoSpaceDN w:val="0"/>
        <w:adjustRightInd w:val="0"/>
        <w:spacing w:after="0" w:line="360" w:lineRule="auto"/>
        <w:jc w:val="both"/>
        <w:rPr>
          <w:rFonts w:cs="TimesNewRomanPSMT"/>
        </w:rPr>
      </w:pPr>
    </w:p>
    <w:p w14:paraId="51F25C63" w14:textId="77777777" w:rsidR="0028176C" w:rsidRDefault="00E525EF" w:rsidP="00C401A0">
      <w:pPr>
        <w:autoSpaceDE w:val="0"/>
        <w:autoSpaceDN w:val="0"/>
        <w:adjustRightInd w:val="0"/>
        <w:spacing w:after="0" w:line="360" w:lineRule="auto"/>
        <w:jc w:val="both"/>
        <w:rPr>
          <w:rFonts w:cs="TimesNewRomanPSMT"/>
        </w:rPr>
      </w:pPr>
      <w:r w:rsidRPr="00C401A0">
        <w:rPr>
          <w:rFonts w:cs="TimesNewRomanPSMT"/>
        </w:rPr>
        <w:t xml:space="preserve">En ese sentido, </w:t>
      </w:r>
      <w:r w:rsidR="00707206">
        <w:rPr>
          <w:rFonts w:cs="TimesNewRomanPSMT"/>
        </w:rPr>
        <w:t>considero</w:t>
      </w:r>
      <w:r w:rsidR="00980F23" w:rsidRPr="00C401A0">
        <w:rPr>
          <w:rFonts w:cs="TimesNewRomanPSMT"/>
        </w:rPr>
        <w:t xml:space="preserve"> que</w:t>
      </w:r>
      <w:r w:rsidR="009778D5" w:rsidRPr="00C401A0">
        <w:rPr>
          <w:rFonts w:cs="TimesNewRomanPSMT"/>
        </w:rPr>
        <w:t xml:space="preserve"> para cerrar </w:t>
      </w:r>
      <w:r w:rsidR="00980F23" w:rsidRPr="00C401A0">
        <w:rPr>
          <w:rFonts w:cs="TimesNewRomanPSMT"/>
        </w:rPr>
        <w:t>la brecha regional</w:t>
      </w:r>
      <w:r w:rsidR="009778D5" w:rsidRPr="00C401A0">
        <w:rPr>
          <w:rFonts w:cs="TimesNewRomanPSMT"/>
        </w:rPr>
        <w:t xml:space="preserve"> de pobreza</w:t>
      </w:r>
      <w:r w:rsidRPr="00C401A0">
        <w:rPr>
          <w:rFonts w:cs="TimesNewRomanPSMT"/>
        </w:rPr>
        <w:t>, si fuera cuestión de colocar dine</w:t>
      </w:r>
      <w:r w:rsidR="00980F23" w:rsidRPr="00C401A0">
        <w:rPr>
          <w:rFonts w:cs="TimesNewRomanPSMT"/>
        </w:rPr>
        <w:t>ro en el bolsillo de la gente, e</w:t>
      </w:r>
      <w:r w:rsidRPr="00C401A0">
        <w:rPr>
          <w:rFonts w:cs="TimesNewRomanPSMT"/>
        </w:rPr>
        <w:t xml:space="preserve">s algo </w:t>
      </w:r>
      <w:r w:rsidR="00732A09" w:rsidRPr="00C401A0">
        <w:rPr>
          <w:rFonts w:cs="TimesNewRomanPSMT"/>
        </w:rPr>
        <w:t>que está al alcance del país</w:t>
      </w:r>
      <w:r w:rsidRPr="00C401A0">
        <w:rPr>
          <w:rFonts w:cs="TimesNewRomanPSMT"/>
        </w:rPr>
        <w:t>, pero el problema princ</w:t>
      </w:r>
      <w:r w:rsidR="00980F23" w:rsidRPr="00C401A0">
        <w:rPr>
          <w:rFonts w:cs="TimesNewRomanPSMT"/>
        </w:rPr>
        <w:t>ipal</w:t>
      </w:r>
      <w:r w:rsidRPr="00C401A0">
        <w:rPr>
          <w:rFonts w:cs="TimesNewRomanPSMT"/>
        </w:rPr>
        <w:t xml:space="preserve"> </w:t>
      </w:r>
      <w:r w:rsidR="00FE2957" w:rsidRPr="00C401A0">
        <w:rPr>
          <w:rFonts w:cs="TimesNewRomanPSMT"/>
        </w:rPr>
        <w:t>es que</w:t>
      </w:r>
      <w:r w:rsidR="00732A09" w:rsidRPr="00C401A0">
        <w:rPr>
          <w:rFonts w:cs="TimesNewRomanPSMT"/>
        </w:rPr>
        <w:t xml:space="preserve"> esto generaría </w:t>
      </w:r>
      <w:r w:rsidR="00714EBE" w:rsidRPr="00C401A0">
        <w:rPr>
          <w:rFonts w:cs="TimesNewRomanPSMT"/>
        </w:rPr>
        <w:t>dependencia de la población,</w:t>
      </w:r>
      <w:r w:rsidR="00980F23" w:rsidRPr="00C401A0">
        <w:rPr>
          <w:rFonts w:cs="TimesNewRomanPSMT"/>
        </w:rPr>
        <w:t xml:space="preserve"> no se </w:t>
      </w:r>
      <w:r w:rsidR="00FE2957" w:rsidRPr="00C401A0">
        <w:rPr>
          <w:rFonts w:cs="TimesNewRomanPSMT"/>
        </w:rPr>
        <w:t>abordaría estructuralmente el</w:t>
      </w:r>
      <w:r w:rsidR="00DD4CCC" w:rsidRPr="00C401A0">
        <w:rPr>
          <w:rFonts w:cs="TimesNewRomanPSMT"/>
        </w:rPr>
        <w:t xml:space="preserve"> problema</w:t>
      </w:r>
      <w:r w:rsidR="00732A09" w:rsidRPr="00C401A0">
        <w:rPr>
          <w:rFonts w:cs="TimesNewRomanPSMT"/>
        </w:rPr>
        <w:t xml:space="preserve"> de </w:t>
      </w:r>
      <w:r w:rsidR="00980F23" w:rsidRPr="00C401A0">
        <w:rPr>
          <w:rFonts w:cs="TimesNewRomanPSMT"/>
        </w:rPr>
        <w:t xml:space="preserve">la pobreza </w:t>
      </w:r>
      <w:r w:rsidR="00FE2957" w:rsidRPr="00C401A0">
        <w:rPr>
          <w:rFonts w:cs="TimesNewRomanPSMT"/>
        </w:rPr>
        <w:t>y la</w:t>
      </w:r>
      <w:r w:rsidR="00980F23" w:rsidRPr="00C401A0">
        <w:rPr>
          <w:rFonts w:cs="TimesNewRomanPSMT"/>
        </w:rPr>
        <w:t xml:space="preserve"> desigualdad</w:t>
      </w:r>
      <w:r w:rsidRPr="00C401A0">
        <w:rPr>
          <w:rFonts w:cs="TimesNewRomanPSMT"/>
        </w:rPr>
        <w:t>, con el desarrollo de estrategias</w:t>
      </w:r>
      <w:r w:rsidR="00980F23" w:rsidRPr="00C401A0">
        <w:rPr>
          <w:rFonts w:cs="TimesNewRomanPSMT"/>
        </w:rPr>
        <w:t xml:space="preserve"> sostenibles de largo plazo</w:t>
      </w:r>
      <w:r w:rsidR="00714EBE" w:rsidRPr="00C401A0">
        <w:rPr>
          <w:rFonts w:cs="TimesNewRomanPSMT"/>
        </w:rPr>
        <w:t xml:space="preserve"> que</w:t>
      </w:r>
      <w:r w:rsidR="00301E02">
        <w:rPr>
          <w:rFonts w:cs="TimesNewRomanPSMT"/>
        </w:rPr>
        <w:t xml:space="preserve"> nos permita salir del actual cí</w:t>
      </w:r>
      <w:r w:rsidR="00714EBE" w:rsidRPr="00C401A0">
        <w:rPr>
          <w:rFonts w:cs="TimesNewRomanPSMT"/>
        </w:rPr>
        <w:t>rculo vicioso de la pobreza.</w:t>
      </w:r>
    </w:p>
    <w:p w14:paraId="59CF1043" w14:textId="77777777" w:rsidR="00C401A0" w:rsidRPr="00C401A0" w:rsidRDefault="00C401A0" w:rsidP="00C401A0">
      <w:pPr>
        <w:autoSpaceDE w:val="0"/>
        <w:autoSpaceDN w:val="0"/>
        <w:adjustRightInd w:val="0"/>
        <w:spacing w:after="0" w:line="360" w:lineRule="auto"/>
        <w:jc w:val="both"/>
        <w:rPr>
          <w:rFonts w:cs="TimesNewRomanPSMT"/>
        </w:rPr>
      </w:pPr>
    </w:p>
    <w:p w14:paraId="77AFD36C" w14:textId="77777777" w:rsidR="00742C8B" w:rsidRDefault="00742C8B" w:rsidP="00742C8B">
      <w:pPr>
        <w:spacing w:line="360" w:lineRule="auto"/>
        <w:jc w:val="both"/>
        <w:rPr>
          <w:b/>
        </w:rPr>
      </w:pPr>
      <w:r>
        <w:rPr>
          <w:b/>
        </w:rPr>
        <w:t>Distribución inequitativa de los recursos f</w:t>
      </w:r>
      <w:r w:rsidR="00B6086D">
        <w:rPr>
          <w:b/>
        </w:rPr>
        <w:t>iscales</w:t>
      </w:r>
    </w:p>
    <w:p w14:paraId="2F4EC475" w14:textId="77777777" w:rsidR="0013702B" w:rsidRDefault="007E7311" w:rsidP="009210FB">
      <w:pPr>
        <w:autoSpaceDE w:val="0"/>
        <w:autoSpaceDN w:val="0"/>
        <w:adjustRightInd w:val="0"/>
        <w:spacing w:after="0" w:line="360" w:lineRule="auto"/>
        <w:jc w:val="both"/>
        <w:rPr>
          <w:rFonts w:eastAsia="MyriadPro-Regular" w:cs="MyriadPro-Regular"/>
        </w:rPr>
      </w:pPr>
      <w:r>
        <w:t xml:space="preserve">De acuerdo a los indicadores del INCORE </w:t>
      </w:r>
      <w:r w:rsidRPr="007E7311">
        <w:t xml:space="preserve"> 2016, Cajamarca</w:t>
      </w:r>
      <w:r>
        <w:t xml:space="preserve"> en la dimensión   entorno económico  </w:t>
      </w:r>
      <w:r w:rsidR="00F466BA">
        <w:t xml:space="preserve">tiene un </w:t>
      </w:r>
      <w:r w:rsidR="00DA2718">
        <w:t xml:space="preserve">(PBI) </w:t>
      </w:r>
      <w:r>
        <w:t xml:space="preserve">real de  S/ 11,239 millones de soles  y en el ranking nacional de 24 regiones  se ubica en el puesto 9; el producto interno </w:t>
      </w:r>
      <w:r w:rsidR="00301E02">
        <w:t>bruto per cápita asciende  a S/</w:t>
      </w:r>
      <w:r>
        <w:t xml:space="preserve"> 7,369, ubicándose en el </w:t>
      </w:r>
      <w:r w:rsidR="006C53B1">
        <w:t>Rankin</w:t>
      </w:r>
      <w:r>
        <w:t xml:space="preserve"> 18, esto se explica porque Cajamarca es una  de las regiones   más pobladas del país (1,529,755 habitantes  </w:t>
      </w:r>
      <w:r w:rsidR="00607D8A">
        <w:t xml:space="preserve">al año 2015), pero en contraste, </w:t>
      </w:r>
      <w:r>
        <w:t>el presupuesto público per cápita asciende a  S/. 2,435 que lo ubica en el ranking 22</w:t>
      </w:r>
      <w:r w:rsidR="00DA2718">
        <w:t>, es decir</w:t>
      </w:r>
      <w:r w:rsidR="00B6086D">
        <w:t>,</w:t>
      </w:r>
      <w:r w:rsidR="00DA2718">
        <w:t xml:space="preserve"> Cajamarca tiene una participación  importante en el </w:t>
      </w:r>
      <w:r>
        <w:t xml:space="preserve"> </w:t>
      </w:r>
      <w:r w:rsidR="00DA2718">
        <w:t>P</w:t>
      </w:r>
      <w:r w:rsidR="00B6086D">
        <w:t>BI nacional, pero</w:t>
      </w:r>
      <w:r w:rsidR="00DA2718">
        <w:t xml:space="preserve"> es </w:t>
      </w:r>
      <w:r w:rsidR="00F466BA">
        <w:t xml:space="preserve">una  de </w:t>
      </w:r>
      <w:r w:rsidR="00DA2718">
        <w:t>la</w:t>
      </w:r>
      <w:r w:rsidR="00F466BA">
        <w:t>s regiones</w:t>
      </w:r>
      <w:r w:rsidR="00DA2718">
        <w:t xml:space="preserve"> que recibe</w:t>
      </w:r>
      <w:r w:rsidR="00B6086D">
        <w:t xml:space="preserve"> menos presupuesto público del g</w:t>
      </w:r>
      <w:r w:rsidR="00DA2718">
        <w:t xml:space="preserve">obierno </w:t>
      </w:r>
      <w:r w:rsidR="00B6086D">
        <w:t>n</w:t>
      </w:r>
      <w:r w:rsidR="007E4AEF">
        <w:t>acional.  S</w:t>
      </w:r>
      <w:r w:rsidR="00DA2718">
        <w:t>i a lo señalado</w:t>
      </w:r>
      <w:r w:rsidR="00F466BA">
        <w:t xml:space="preserve"> agregamos que Cajamarca es la r</w:t>
      </w:r>
      <w:r w:rsidR="00DA2718">
        <w:t xml:space="preserve">egión con mayor pobreza y brechas sociales del país, </w:t>
      </w:r>
      <w:r w:rsidR="0067024F">
        <w:t xml:space="preserve">queda </w:t>
      </w:r>
      <w:r w:rsidR="00DA2718">
        <w:t>e</w:t>
      </w:r>
      <w:r w:rsidR="0067024F">
        <w:t>n</w:t>
      </w:r>
      <w:r w:rsidR="00DA2718">
        <w:t xml:space="preserve"> evidencia que  existe una distribución inequi</w:t>
      </w:r>
      <w:r w:rsidR="0067024F">
        <w:t>tativa de los recursos fiscales nacionales.</w:t>
      </w:r>
      <w:r w:rsidR="0013702B">
        <w:t xml:space="preserve"> </w:t>
      </w:r>
      <w:r w:rsidR="0013702B" w:rsidRPr="0013702B">
        <w:rPr>
          <w:i/>
        </w:rPr>
        <w:t>“</w:t>
      </w:r>
      <w:r w:rsidR="0013702B" w:rsidRPr="0013702B">
        <w:rPr>
          <w:rFonts w:eastAsia="MyriadPro-Regular" w:cs="MyriadPro-Regular"/>
          <w:i/>
        </w:rPr>
        <w:t>Si se quiere medir mejor el impacto que tendría</w:t>
      </w:r>
      <w:r w:rsidR="0013702B" w:rsidRPr="0013702B">
        <w:rPr>
          <w:i/>
        </w:rPr>
        <w:t xml:space="preserve"> </w:t>
      </w:r>
      <w:r w:rsidR="00FF5D3E">
        <w:rPr>
          <w:rFonts w:eastAsia="MyriadPro-Regular" w:cs="MyriadPro-Regular"/>
          <w:i/>
        </w:rPr>
        <w:t>la nueva distribució</w:t>
      </w:r>
      <w:r w:rsidR="0013702B" w:rsidRPr="0013702B">
        <w:rPr>
          <w:rFonts w:eastAsia="MyriadPro-Regular" w:cs="MyriadPro-Regular"/>
          <w:i/>
        </w:rPr>
        <w:t>n, se debe considerar</w:t>
      </w:r>
      <w:r w:rsidR="0013702B" w:rsidRPr="0013702B">
        <w:rPr>
          <w:i/>
        </w:rPr>
        <w:t xml:space="preserve"> </w:t>
      </w:r>
      <w:r w:rsidR="0013702B" w:rsidRPr="0013702B">
        <w:rPr>
          <w:rFonts w:eastAsia="MyriadPro-Regular" w:cs="MyriadPro-Regular"/>
          <w:i/>
        </w:rPr>
        <w:t xml:space="preserve">las transferencias per </w:t>
      </w:r>
      <w:r w:rsidR="006C53B1" w:rsidRPr="0013702B">
        <w:rPr>
          <w:rFonts w:eastAsia="MyriadPro-Regular" w:cs="MyriadPro-Regular"/>
          <w:i/>
        </w:rPr>
        <w:t>cápita</w:t>
      </w:r>
      <w:r w:rsidR="0013702B" w:rsidRPr="0013702B">
        <w:rPr>
          <w:rFonts w:eastAsia="MyriadPro-Regular" w:cs="MyriadPro-Regular"/>
          <w:i/>
        </w:rPr>
        <w:t>”</w:t>
      </w:r>
      <w:r w:rsidR="0013702B">
        <w:rPr>
          <w:rFonts w:eastAsia="MyriadPro-Regular" w:cs="MyriadPro-Regular"/>
        </w:rPr>
        <w:t xml:space="preserve"> </w:t>
      </w:r>
      <w:r w:rsidR="0013702B" w:rsidRPr="004D17A3">
        <w:rPr>
          <w:rFonts w:eastAsia="MyriadPro-Regular" w:cs="MyriadPro-Regular"/>
        </w:rPr>
        <w:t>(Asamblea Nacional de Gobiernos Regionales: 61)</w:t>
      </w:r>
    </w:p>
    <w:p w14:paraId="7BD37778" w14:textId="77777777" w:rsidR="009210FB" w:rsidRPr="009210FB" w:rsidRDefault="009210FB" w:rsidP="009210FB">
      <w:pPr>
        <w:autoSpaceDE w:val="0"/>
        <w:autoSpaceDN w:val="0"/>
        <w:adjustRightInd w:val="0"/>
        <w:spacing w:after="0" w:line="360" w:lineRule="auto"/>
        <w:jc w:val="both"/>
        <w:rPr>
          <w:rFonts w:eastAsia="MyriadPro-Regular" w:cs="MyriadPro-Regular"/>
        </w:rPr>
      </w:pPr>
    </w:p>
    <w:p w14:paraId="7A9B34EB" w14:textId="77777777" w:rsidR="00C00821" w:rsidRDefault="009210FB" w:rsidP="00B35EB9">
      <w:pPr>
        <w:autoSpaceDE w:val="0"/>
        <w:autoSpaceDN w:val="0"/>
        <w:adjustRightInd w:val="0"/>
        <w:spacing w:after="0" w:line="360" w:lineRule="auto"/>
        <w:jc w:val="both"/>
        <w:rPr>
          <w:rFonts w:eastAsia="MyriadPro-Regular" w:cs="MyriadPro-Regular"/>
        </w:rPr>
      </w:pPr>
      <w:r>
        <w:rPr>
          <w:rFonts w:eastAsia="MyriadPro-Regular" w:cs="MyriadPro-Regular"/>
        </w:rPr>
        <w:t>Sobre la distribución inequitativa de las transferencias del gobierno nacional a los gobiernos subnacionales, la Asamblea Nacional de Gobiernos Regionales (2009), precisa que, si  las transferencias  fueran per cápita</w:t>
      </w:r>
      <w:r w:rsidR="00B6086D">
        <w:rPr>
          <w:rFonts w:eastAsia="MyriadPro-Regular" w:cs="MyriadPro-Regular"/>
        </w:rPr>
        <w:t>,</w:t>
      </w:r>
      <w:r>
        <w:rPr>
          <w:rFonts w:eastAsia="MyriadPro-Regular" w:cs="MyriadPro-Regular"/>
        </w:rPr>
        <w:t xml:space="preserve"> las regiones con mayor población </w:t>
      </w:r>
      <w:r w:rsidRPr="009210FB">
        <w:rPr>
          <w:rFonts w:eastAsia="MyriadPro-Regular" w:cs="MyriadPro-Regular"/>
        </w:rPr>
        <w:t>pobre y menor</w:t>
      </w:r>
      <w:r>
        <w:rPr>
          <w:rFonts w:eastAsia="MyriadPro-Regular" w:cs="MyriadPro-Regular"/>
        </w:rPr>
        <w:t xml:space="preserve"> acceso servicios públicos como Cajamarca y</w:t>
      </w:r>
      <w:r w:rsidRPr="009210FB">
        <w:rPr>
          <w:rFonts w:eastAsia="MyriadPro-Regular" w:cs="MyriadPro-Regular"/>
        </w:rPr>
        <w:t xml:space="preserve"> </w:t>
      </w:r>
      <w:r w:rsidR="007E4AEF">
        <w:rPr>
          <w:rFonts w:eastAsia="MyriadPro-Regular" w:cs="MyriadPro-Regular"/>
        </w:rPr>
        <w:t>Huancavelica aumentarían</w:t>
      </w:r>
      <w:r>
        <w:rPr>
          <w:rFonts w:eastAsia="MyriadPro-Regular" w:cs="MyriadPro-Regular"/>
        </w:rPr>
        <w:t xml:space="preserve"> s</w:t>
      </w:r>
      <w:r w:rsidR="007E4AEF">
        <w:rPr>
          <w:rFonts w:eastAsia="MyriadPro-Regular" w:cs="MyriadPro-Regular"/>
        </w:rPr>
        <w:t>u presupuesto, hecho que corrobora</w:t>
      </w:r>
      <w:r>
        <w:rPr>
          <w:rFonts w:eastAsia="MyriadPro-Regular" w:cs="MyriadPro-Regular"/>
        </w:rPr>
        <w:t xml:space="preserve">, la inequidad en la distribución del presupuesto </w:t>
      </w:r>
      <w:r w:rsidRPr="009210FB">
        <w:rPr>
          <w:rFonts w:eastAsia="MyriadPro-Regular" w:cs="MyriadPro-Regular"/>
        </w:rPr>
        <w:t>entre los gobiernos regionales</w:t>
      </w:r>
      <w:r w:rsidR="00B35EB9">
        <w:rPr>
          <w:rFonts w:eastAsia="MyriadPro-Regular" w:cs="MyriadPro-Regular"/>
        </w:rPr>
        <w:t xml:space="preserve"> </w:t>
      </w:r>
      <w:r w:rsidR="00B35EB9" w:rsidRPr="00C65467">
        <w:rPr>
          <w:rFonts w:cs="AkzidenzGroteskBE-Regular"/>
          <w:i/>
        </w:rPr>
        <w:t>“Resulta sumamente deseable que las tr</w:t>
      </w:r>
      <w:r w:rsidR="00B35EB9">
        <w:rPr>
          <w:rFonts w:cs="AkzidenzGroteskBE-Regular"/>
          <w:i/>
        </w:rPr>
        <w:t xml:space="preserve">ansferencias </w:t>
      </w:r>
      <w:r w:rsidR="00B35EB9" w:rsidRPr="00C65467">
        <w:rPr>
          <w:rFonts w:cs="AkzidenzGroteskBE-Regular"/>
          <w:i/>
        </w:rPr>
        <w:t>deben preferir modalidades</w:t>
      </w:r>
      <w:r w:rsidR="00B35EB9" w:rsidRPr="00C65467">
        <w:rPr>
          <w:rFonts w:cs="Arial"/>
          <w:i/>
          <w:color w:val="333333"/>
        </w:rPr>
        <w:t xml:space="preserve"> </w:t>
      </w:r>
      <w:r w:rsidR="00B35EB9" w:rsidRPr="00C65467">
        <w:rPr>
          <w:rFonts w:cs="AkzidenzGroteskBE-Regular"/>
          <w:i/>
        </w:rPr>
        <w:t>que concilien criterios de equidad y eficiencia a la par que premien</w:t>
      </w:r>
      <w:r w:rsidR="00B35EB9" w:rsidRPr="00C65467">
        <w:rPr>
          <w:rFonts w:cs="Arial"/>
          <w:i/>
          <w:color w:val="333333"/>
        </w:rPr>
        <w:t xml:space="preserve"> </w:t>
      </w:r>
      <w:r w:rsidR="00B35EB9" w:rsidRPr="00C65467">
        <w:rPr>
          <w:rFonts w:cs="AkzidenzGroteskBE-Regular"/>
          <w:i/>
        </w:rPr>
        <w:t>el esfuerzo fiscal”</w:t>
      </w:r>
      <w:r w:rsidR="00B35EB9">
        <w:rPr>
          <w:rFonts w:cs="AkzidenzGroteskBE-Regular"/>
        </w:rPr>
        <w:t xml:space="preserve"> (Ramírez:</w:t>
      </w:r>
      <w:r w:rsidR="00D96519">
        <w:rPr>
          <w:rFonts w:cs="AkzidenzGroteskBE-Regular"/>
        </w:rPr>
        <w:t xml:space="preserve"> 20</w:t>
      </w:r>
      <w:r w:rsidR="00B35EB9" w:rsidRPr="00C65467">
        <w:rPr>
          <w:rFonts w:cs="AkzidenzGroteskBE-Regular"/>
        </w:rPr>
        <w:t>)</w:t>
      </w:r>
      <w:r w:rsidR="009778D5">
        <w:rPr>
          <w:rFonts w:cs="AkzidenzGroteskBE-Regular"/>
        </w:rPr>
        <w:t xml:space="preserve">. Asimismo, </w:t>
      </w:r>
      <w:r w:rsidR="009778D5" w:rsidRPr="000F6839">
        <w:rPr>
          <w:rFonts w:cs="Arial"/>
          <w:i/>
        </w:rPr>
        <w:t>“</w:t>
      </w:r>
      <w:r w:rsidR="009778D5">
        <w:rPr>
          <w:rFonts w:cs="Arial"/>
          <w:i/>
        </w:rPr>
        <w:t xml:space="preserve">El </w:t>
      </w:r>
      <w:r w:rsidR="009778D5" w:rsidRPr="000F6839">
        <w:rPr>
          <w:rFonts w:cs="Arial"/>
          <w:i/>
        </w:rPr>
        <w:t>sistema de transferencias no está diseñado para atender las desigualdades interregionales”</w:t>
      </w:r>
      <w:r w:rsidR="009778D5">
        <w:rPr>
          <w:i/>
        </w:rPr>
        <w:t xml:space="preserve"> </w:t>
      </w:r>
      <w:r w:rsidR="009778D5">
        <w:t>(</w:t>
      </w:r>
      <w:r w:rsidR="006C53B1">
        <w:t>Vega: 42</w:t>
      </w:r>
      <w:r w:rsidR="009778D5" w:rsidRPr="000F6839">
        <w:t>)</w:t>
      </w:r>
    </w:p>
    <w:p w14:paraId="2F4A252A" w14:textId="77777777" w:rsidR="00B35EB9" w:rsidRPr="00B35EB9" w:rsidRDefault="00B35EB9" w:rsidP="00B35EB9">
      <w:pPr>
        <w:autoSpaceDE w:val="0"/>
        <w:autoSpaceDN w:val="0"/>
        <w:adjustRightInd w:val="0"/>
        <w:spacing w:after="0" w:line="360" w:lineRule="auto"/>
        <w:jc w:val="both"/>
        <w:rPr>
          <w:rFonts w:eastAsia="MyriadPro-Regular" w:cs="MyriadPro-Regular"/>
        </w:rPr>
      </w:pPr>
    </w:p>
    <w:p w14:paraId="4A809798" w14:textId="77777777" w:rsidR="00C401A0" w:rsidRDefault="00B35EB9" w:rsidP="00C00821">
      <w:pPr>
        <w:spacing w:line="360" w:lineRule="auto"/>
        <w:jc w:val="both"/>
        <w:rPr>
          <w:rFonts w:cs="FrutigerLT-Light"/>
          <w:color w:val="1F1F1F"/>
        </w:rPr>
      </w:pPr>
      <w:r>
        <w:rPr>
          <w:rFonts w:cs="FrutigerLT-Light"/>
          <w:color w:val="1F1F1F"/>
        </w:rPr>
        <w:lastRenderedPageBreak/>
        <w:t>De otra parte l</w:t>
      </w:r>
      <w:r w:rsidR="00C00821">
        <w:rPr>
          <w:rFonts w:cs="FrutigerLT-Light"/>
          <w:color w:val="1F1F1F"/>
        </w:rPr>
        <w:t>a Contraloría General de la Republica  (2014)  alerta que, se</w:t>
      </w:r>
      <w:r w:rsidR="00C00821" w:rsidRPr="00B2120A">
        <w:rPr>
          <w:rFonts w:cs="FrutigerLT-Light"/>
          <w:color w:val="1F1F1F"/>
        </w:rPr>
        <w:t xml:space="preserve"> proyecta una disminución en</w:t>
      </w:r>
      <w:r w:rsidR="00F21DC2">
        <w:rPr>
          <w:rFonts w:cs="FrutigerLT-Light"/>
          <w:color w:val="1F1F1F"/>
        </w:rPr>
        <w:t xml:space="preserve"> los recursos provenientes del c</w:t>
      </w:r>
      <w:r w:rsidR="00C00821" w:rsidRPr="00B2120A">
        <w:rPr>
          <w:rFonts w:cs="FrutigerLT-Light"/>
          <w:color w:val="1F1F1F"/>
        </w:rPr>
        <w:t>anon, un</w:t>
      </w:r>
      <w:r w:rsidR="00C00821">
        <w:rPr>
          <w:rFonts w:cs="FrutigerLT-Light"/>
          <w:color w:val="1F1F1F"/>
        </w:rPr>
        <w:t xml:space="preserve"> </w:t>
      </w:r>
      <w:r w:rsidR="00C00821" w:rsidRPr="00B2120A">
        <w:rPr>
          <w:rFonts w:cs="FrutigerLT-Light"/>
          <w:color w:val="1F1F1F"/>
        </w:rPr>
        <w:t>cambio que impactará la inversión públic</w:t>
      </w:r>
      <w:r w:rsidR="00C00821">
        <w:rPr>
          <w:rFonts w:cs="FrutigerLT-Light"/>
          <w:color w:val="1F1F1F"/>
        </w:rPr>
        <w:t xml:space="preserve">a descentralizada y que </w:t>
      </w:r>
      <w:r w:rsidR="00C00821" w:rsidRPr="00B2120A">
        <w:rPr>
          <w:rFonts w:cs="FrutigerLT-Light"/>
          <w:color w:val="1F1F1F"/>
        </w:rPr>
        <w:t>se ha podido consta</w:t>
      </w:r>
      <w:r w:rsidR="00C00821">
        <w:rPr>
          <w:rFonts w:cs="FrutigerLT-Light"/>
          <w:color w:val="1F1F1F"/>
        </w:rPr>
        <w:t>tar que</w:t>
      </w:r>
      <w:r w:rsidR="00F21DC2">
        <w:rPr>
          <w:rFonts w:cs="FrutigerLT-Light"/>
          <w:color w:val="1F1F1F"/>
        </w:rPr>
        <w:t>, el e</w:t>
      </w:r>
      <w:r w:rsidR="00C00821">
        <w:rPr>
          <w:rFonts w:cs="FrutigerLT-Light"/>
          <w:color w:val="1F1F1F"/>
        </w:rPr>
        <w:t xml:space="preserve">stado enfrenta tres </w:t>
      </w:r>
      <w:r w:rsidR="00C00821" w:rsidRPr="00B2120A">
        <w:rPr>
          <w:rFonts w:cs="FrutigerLT-Light"/>
          <w:color w:val="1F1F1F"/>
        </w:rPr>
        <w:t>grandes limitaciones para cerrar la</w:t>
      </w:r>
      <w:r w:rsidR="00F466BA">
        <w:rPr>
          <w:rFonts w:cs="FrutigerLT-Light"/>
          <w:color w:val="1F1F1F"/>
        </w:rPr>
        <w:t>s</w:t>
      </w:r>
      <w:r w:rsidR="00C00821" w:rsidRPr="00B2120A">
        <w:rPr>
          <w:rFonts w:cs="FrutigerLT-Light"/>
          <w:color w:val="1F1F1F"/>
        </w:rPr>
        <w:t xml:space="preserve"> brecha</w:t>
      </w:r>
      <w:r w:rsidR="00F466BA">
        <w:rPr>
          <w:rFonts w:cs="FrutigerLT-Light"/>
          <w:color w:val="1F1F1F"/>
        </w:rPr>
        <w:t>s</w:t>
      </w:r>
      <w:r w:rsidR="00C00821" w:rsidRPr="00B2120A">
        <w:rPr>
          <w:rFonts w:cs="FrutigerLT-Light"/>
          <w:color w:val="1F1F1F"/>
        </w:rPr>
        <w:t xml:space="preserve"> en s</w:t>
      </w:r>
      <w:r w:rsidR="00F21DC2">
        <w:rPr>
          <w:rFonts w:cs="FrutigerLT-Light"/>
          <w:color w:val="1F1F1F"/>
        </w:rPr>
        <w:t xml:space="preserve">ervicios e infraestructura: </w:t>
      </w:r>
      <w:r w:rsidR="00C00821">
        <w:rPr>
          <w:rFonts w:cs="FrutigerLT-Light"/>
          <w:color w:val="1F1F1F"/>
        </w:rPr>
        <w:t>L</w:t>
      </w:r>
      <w:r w:rsidR="00C00821" w:rsidRPr="00B2120A">
        <w:rPr>
          <w:rFonts w:cs="FrutigerLT-Light"/>
          <w:color w:val="1F1F1F"/>
        </w:rPr>
        <w:t>as prácticas inadecuadas en el proceso de i</w:t>
      </w:r>
      <w:r w:rsidR="00C00821">
        <w:rPr>
          <w:rFonts w:cs="FrutigerLT-Light"/>
          <w:color w:val="1F1F1F"/>
        </w:rPr>
        <w:t xml:space="preserve">nversión pública; </w:t>
      </w:r>
      <w:r w:rsidR="00F21DC2">
        <w:rPr>
          <w:rFonts w:cs="FrutigerLT-Light"/>
          <w:color w:val="1F1F1F"/>
        </w:rPr>
        <w:t xml:space="preserve"> insuficientes recursos humanos; </w:t>
      </w:r>
      <w:r w:rsidR="00C00821">
        <w:rPr>
          <w:rFonts w:cs="FrutigerLT-Light"/>
          <w:color w:val="1F1F1F"/>
        </w:rPr>
        <w:t xml:space="preserve"> y</w:t>
      </w:r>
      <w:r w:rsidR="00C00821" w:rsidRPr="00B2120A">
        <w:rPr>
          <w:rFonts w:cs="FrutigerLT-Light"/>
          <w:color w:val="1F1F1F"/>
        </w:rPr>
        <w:t xml:space="preserve"> recursos financieros </w:t>
      </w:r>
      <w:r w:rsidR="00C00821">
        <w:rPr>
          <w:rFonts w:cs="FrutigerLT-Light"/>
          <w:color w:val="1F1F1F"/>
        </w:rPr>
        <w:t xml:space="preserve">insuficientes para la inversión descentralizada al corto y </w:t>
      </w:r>
      <w:r w:rsidR="00C00821" w:rsidRPr="00B2120A">
        <w:rPr>
          <w:rFonts w:cs="FrutigerLT-Light"/>
          <w:color w:val="1F1F1F"/>
        </w:rPr>
        <w:t>mediano plazo.</w:t>
      </w:r>
    </w:p>
    <w:p w14:paraId="42448C2B" w14:textId="77777777" w:rsidR="00453B1B" w:rsidRPr="00F466BA" w:rsidRDefault="00453B1B" w:rsidP="00C00821">
      <w:pPr>
        <w:spacing w:line="360" w:lineRule="auto"/>
        <w:jc w:val="both"/>
        <w:rPr>
          <w:rFonts w:cs="FrutigerLT-Light"/>
          <w:color w:val="1F1F1F"/>
        </w:rPr>
      </w:pPr>
    </w:p>
    <w:p w14:paraId="5AC22151" w14:textId="77777777" w:rsidR="00EB42D0" w:rsidRDefault="00263B4E" w:rsidP="008B5F29">
      <w:pPr>
        <w:spacing w:line="360" w:lineRule="auto"/>
        <w:jc w:val="both"/>
        <w:rPr>
          <w:b/>
        </w:rPr>
      </w:pPr>
      <w:r>
        <w:rPr>
          <w:b/>
        </w:rPr>
        <w:t xml:space="preserve">Instrumentos y </w:t>
      </w:r>
      <w:r w:rsidR="00EB42D0" w:rsidRPr="008B5F29">
        <w:rPr>
          <w:b/>
        </w:rPr>
        <w:t xml:space="preserve"> fuentes de financiamiento</w:t>
      </w:r>
      <w:r>
        <w:rPr>
          <w:b/>
        </w:rPr>
        <w:t xml:space="preserve"> no utilizados</w:t>
      </w:r>
    </w:p>
    <w:p w14:paraId="6484F624" w14:textId="77777777" w:rsidR="0034039C" w:rsidRDefault="0034039C" w:rsidP="008B5F29">
      <w:pPr>
        <w:spacing w:line="360" w:lineRule="auto"/>
        <w:jc w:val="both"/>
      </w:pPr>
      <w:r>
        <w:t>Existen diversos mecanismos para desarrollar proyectos de infraestructura y provisión de servicios públicos, como contratos de obra pública y c</w:t>
      </w:r>
      <w:r w:rsidR="00E01585">
        <w:t>o</w:t>
      </w:r>
      <w:r>
        <w:t>ntratos llave en mano que son regulados por la ley de contrataciones,   administraci</w:t>
      </w:r>
      <w:r w:rsidR="00E55924">
        <w:t>ón d</w:t>
      </w:r>
      <w:r w:rsidR="00607D8A">
        <w:t>irecta</w:t>
      </w:r>
      <w:r>
        <w:t>, asociaciones público privadas</w:t>
      </w:r>
      <w:r w:rsidR="00B74598">
        <w:t xml:space="preserve"> (APP),</w:t>
      </w:r>
      <w:r w:rsidR="00E55924">
        <w:t xml:space="preserve"> obras por i</w:t>
      </w:r>
      <w:r>
        <w:t>mpuestos</w:t>
      </w:r>
      <w:r w:rsidR="00E01585">
        <w:t xml:space="preserve"> (OxO)</w:t>
      </w:r>
      <w:r w:rsidR="00607D8A">
        <w:t>, proyectos en activos y</w:t>
      </w:r>
      <w:r w:rsidR="00E55924">
        <w:t xml:space="preserve"> f</w:t>
      </w:r>
      <w:r w:rsidR="00B74598">
        <w:t>ideicomisos.</w:t>
      </w:r>
      <w:r w:rsidR="00E300A8">
        <w:t xml:space="preserve"> Por su importancia al cierre de </w:t>
      </w:r>
      <w:r w:rsidR="00607D8A">
        <w:t>brechas   me referiré  a los cuatro</w:t>
      </w:r>
      <w:r w:rsidR="00E300A8">
        <w:t xml:space="preserve"> últimos</w:t>
      </w:r>
      <w:r w:rsidR="00E55924">
        <w:t>.</w:t>
      </w:r>
    </w:p>
    <w:p w14:paraId="5BE3BB7D" w14:textId="77777777" w:rsidR="00B35EB9" w:rsidRDefault="00B0666F" w:rsidP="00B35EB9">
      <w:pPr>
        <w:spacing w:line="360" w:lineRule="auto"/>
        <w:jc w:val="both"/>
        <w:rPr>
          <w:rFonts w:cs="Arial"/>
          <w:color w:val="333333"/>
          <w:shd w:val="clear" w:color="auto" w:fill="FFFFFF"/>
        </w:rPr>
      </w:pPr>
      <w:r>
        <w:rPr>
          <w:rFonts w:cs="Arial"/>
          <w:color w:val="333333"/>
          <w:shd w:val="clear" w:color="auto" w:fill="FFFFFF"/>
        </w:rPr>
        <w:t>Según el glosario de términos del p</w:t>
      </w:r>
      <w:r w:rsidR="00FF104F">
        <w:rPr>
          <w:rFonts w:cs="Arial"/>
          <w:color w:val="333333"/>
          <w:shd w:val="clear" w:color="auto" w:fill="FFFFFF"/>
        </w:rPr>
        <w:t>ortal de Ministeri</w:t>
      </w:r>
      <w:r w:rsidR="00F466BA">
        <w:rPr>
          <w:rFonts w:cs="Arial"/>
          <w:color w:val="333333"/>
          <w:shd w:val="clear" w:color="auto" w:fill="FFFFFF"/>
        </w:rPr>
        <w:t>o de Economía y Finanzas (2017)</w:t>
      </w:r>
      <w:r w:rsidR="00CD767D">
        <w:rPr>
          <w:rFonts w:cs="Arial"/>
          <w:color w:val="333333"/>
          <w:shd w:val="clear" w:color="auto" w:fill="FFFFFF"/>
        </w:rPr>
        <w:t xml:space="preserve"> se </w:t>
      </w:r>
      <w:r w:rsidR="00FF104F">
        <w:rPr>
          <w:rFonts w:cs="Arial"/>
          <w:color w:val="333333"/>
          <w:shd w:val="clear" w:color="auto" w:fill="FFFFFF"/>
        </w:rPr>
        <w:t>define  que</w:t>
      </w:r>
      <w:r w:rsidR="00F466BA">
        <w:rPr>
          <w:rFonts w:cs="Arial"/>
          <w:color w:val="333333"/>
          <w:shd w:val="clear" w:color="auto" w:fill="FFFFFF"/>
        </w:rPr>
        <w:t>,</w:t>
      </w:r>
      <w:r w:rsidR="00FF104F">
        <w:rPr>
          <w:rFonts w:cs="Arial"/>
          <w:color w:val="333333"/>
          <w:shd w:val="clear" w:color="auto" w:fill="FFFFFF"/>
        </w:rPr>
        <w:t xml:space="preserve">  las APP son</w:t>
      </w:r>
      <w:r w:rsidR="00FF104F" w:rsidRPr="00FF104F">
        <w:rPr>
          <w:rFonts w:cs="Arial"/>
          <w:color w:val="333333"/>
          <w:shd w:val="clear" w:color="auto" w:fill="FFFFFF"/>
        </w:rPr>
        <w:t xml:space="preserve"> modalidades de participación de la inversión privada con el objeto de crear, desarrollar, mejorar, operar o mantener infraestructura pública; proveer servicios públicos; o prestar servicios vinculados a estos; desarrollar proyectos de investigación aplicada y/o innovación tecnológica. En ellas se incorporan la experiencia, conocimientos, equipos y tecnología del sector privado; distribuyendo riesgos y comprometiendo recursos de ambas partes</w:t>
      </w:r>
      <w:r>
        <w:rPr>
          <w:rFonts w:cs="Arial"/>
          <w:color w:val="333333"/>
          <w:shd w:val="clear" w:color="auto" w:fill="FFFFFF"/>
        </w:rPr>
        <w:t xml:space="preserve">  y las obras por i</w:t>
      </w:r>
      <w:r w:rsidR="00FF104F">
        <w:rPr>
          <w:rFonts w:cs="Arial"/>
          <w:color w:val="333333"/>
          <w:shd w:val="clear" w:color="auto" w:fill="FFFFFF"/>
        </w:rPr>
        <w:t>mpuestos es un mecanismo que representa</w:t>
      </w:r>
      <w:r w:rsidR="00FF104F" w:rsidRPr="00FF104F">
        <w:rPr>
          <w:rFonts w:cs="Arial"/>
          <w:color w:val="333333"/>
          <w:shd w:val="clear" w:color="auto" w:fill="FFFFFF"/>
        </w:rPr>
        <w:t xml:space="preserve"> una oportunidad para que el sector público y el sector privado trabajen de la mano para reducir la brecha de infraestructura existente en el país. Mediante este mecanismo, las empresas privadas adelantan el pago de su impuesto a la renta para financiar y ejecutar directamente, de forma rápida y eficiente, proyectos de inversión pública que los gobiernos subnacionales y las entidades del gobierno nacional priorizan</w:t>
      </w:r>
      <w:r w:rsidR="00FF104F">
        <w:rPr>
          <w:rFonts w:cs="Arial"/>
          <w:color w:val="333333"/>
          <w:shd w:val="clear" w:color="auto" w:fill="FFFFFF"/>
        </w:rPr>
        <w:t>.</w:t>
      </w:r>
    </w:p>
    <w:p w14:paraId="4A9C8047" w14:textId="77777777" w:rsidR="00313D90" w:rsidRDefault="00F21DC2" w:rsidP="00313D90">
      <w:pPr>
        <w:pStyle w:val="textocontenidos"/>
        <w:shd w:val="clear" w:color="auto" w:fill="FFFFFF"/>
        <w:spacing w:before="0" w:beforeAutospacing="0" w:after="0" w:afterAutospacing="0" w:line="360" w:lineRule="auto"/>
        <w:jc w:val="both"/>
        <w:textAlignment w:val="baseline"/>
        <w:rPr>
          <w:rFonts w:asciiTheme="minorHAnsi" w:hAnsiTheme="minorHAnsi" w:cs="Arial"/>
          <w:color w:val="333333"/>
          <w:sz w:val="22"/>
          <w:szCs w:val="22"/>
        </w:rPr>
      </w:pPr>
      <w:r>
        <w:rPr>
          <w:rFonts w:asciiTheme="minorHAnsi" w:hAnsiTheme="minorHAnsi" w:cs="Arial"/>
          <w:color w:val="333333"/>
          <w:sz w:val="22"/>
          <w:szCs w:val="22"/>
        </w:rPr>
        <w:t>Además de las APP</w:t>
      </w:r>
      <w:r w:rsidR="00313D90" w:rsidRPr="00263B4E">
        <w:rPr>
          <w:rFonts w:asciiTheme="minorHAnsi" w:hAnsiTheme="minorHAnsi" w:cs="Arial"/>
          <w:color w:val="333333"/>
          <w:sz w:val="22"/>
          <w:szCs w:val="22"/>
        </w:rPr>
        <w:t>, el</w:t>
      </w:r>
      <w:r w:rsidR="00313D90" w:rsidRPr="00263B4E">
        <w:rPr>
          <w:rStyle w:val="apple-converted-space"/>
          <w:rFonts w:asciiTheme="minorHAnsi" w:hAnsiTheme="minorHAnsi" w:cs="Arial"/>
          <w:color w:val="333333"/>
          <w:sz w:val="22"/>
          <w:szCs w:val="22"/>
        </w:rPr>
        <w:t> </w:t>
      </w:r>
      <w:hyperlink r:id="rId7" w:tgtFrame="blanc" w:history="1">
        <w:r w:rsidR="00313D90" w:rsidRPr="00313D90">
          <w:rPr>
            <w:rStyle w:val="Hipervnculo"/>
            <w:rFonts w:asciiTheme="minorHAnsi" w:hAnsiTheme="minorHAnsi" w:cs="Arial"/>
            <w:color w:val="auto"/>
            <w:sz w:val="22"/>
            <w:szCs w:val="22"/>
            <w:u w:val="none"/>
            <w:bdr w:val="none" w:sz="0" w:space="0" w:color="auto" w:frame="1"/>
          </w:rPr>
          <w:t>Decreto Legislativo N° 1224 y su Reglamento</w:t>
        </w:r>
      </w:hyperlink>
      <w:r w:rsidR="00313D90" w:rsidRPr="00313D90">
        <w:rPr>
          <w:rFonts w:asciiTheme="minorHAnsi" w:hAnsiTheme="minorHAnsi" w:cs="Arial"/>
          <w:sz w:val="22"/>
          <w:szCs w:val="22"/>
        </w:rPr>
        <w:t xml:space="preserve">, </w:t>
      </w:r>
      <w:r w:rsidR="00313D90" w:rsidRPr="00263B4E">
        <w:rPr>
          <w:rFonts w:asciiTheme="minorHAnsi" w:hAnsiTheme="minorHAnsi" w:cs="Arial"/>
          <w:color w:val="333333"/>
          <w:sz w:val="22"/>
          <w:szCs w:val="22"/>
        </w:rPr>
        <w:t xml:space="preserve">implementa una modalidad de participación de la inversión privada </w:t>
      </w:r>
      <w:r>
        <w:rPr>
          <w:rFonts w:asciiTheme="minorHAnsi" w:hAnsiTheme="minorHAnsi" w:cs="Arial"/>
          <w:color w:val="333333"/>
          <w:sz w:val="22"/>
          <w:szCs w:val="22"/>
        </w:rPr>
        <w:t>denominada p</w:t>
      </w:r>
      <w:r w:rsidR="00313D90" w:rsidRPr="00263B4E">
        <w:rPr>
          <w:rFonts w:asciiTheme="minorHAnsi" w:hAnsiTheme="minorHAnsi" w:cs="Arial"/>
          <w:color w:val="333333"/>
          <w:sz w:val="22"/>
          <w:szCs w:val="22"/>
        </w:rPr>
        <w:t>royectos</w:t>
      </w:r>
      <w:r>
        <w:rPr>
          <w:rFonts w:asciiTheme="minorHAnsi" w:hAnsiTheme="minorHAnsi" w:cs="Arial"/>
          <w:color w:val="333333"/>
          <w:sz w:val="22"/>
          <w:szCs w:val="22"/>
        </w:rPr>
        <w:t xml:space="preserve"> en activos, que permite a los ministerios, gobiernos regionales y gobiernos l</w:t>
      </w:r>
      <w:r w:rsidR="00313D90" w:rsidRPr="00263B4E">
        <w:rPr>
          <w:rFonts w:asciiTheme="minorHAnsi" w:hAnsiTheme="minorHAnsi" w:cs="Arial"/>
          <w:color w:val="333333"/>
          <w:sz w:val="22"/>
          <w:szCs w:val="22"/>
        </w:rPr>
        <w:t>ocales promover la inversión privada sobre activos de su titularidad a través del Organismo Promotor de la Inversión Privada (OPIP)</w:t>
      </w:r>
      <w:r w:rsidR="00313D90">
        <w:rPr>
          <w:rFonts w:asciiTheme="minorHAnsi" w:hAnsiTheme="minorHAnsi" w:cs="Arial"/>
          <w:color w:val="333333"/>
          <w:sz w:val="22"/>
          <w:szCs w:val="22"/>
        </w:rPr>
        <w:t xml:space="preserve"> respectivo, bajo los  esquemas </w:t>
      </w:r>
      <w:r>
        <w:rPr>
          <w:rFonts w:asciiTheme="minorHAnsi" w:hAnsiTheme="minorHAnsi" w:cs="Arial"/>
          <w:color w:val="333333"/>
          <w:sz w:val="22"/>
          <w:szCs w:val="22"/>
        </w:rPr>
        <w:t>d</w:t>
      </w:r>
      <w:r w:rsidR="00313D90" w:rsidRPr="00C65467">
        <w:rPr>
          <w:rFonts w:asciiTheme="minorHAnsi" w:hAnsiTheme="minorHAnsi" w:cs="Arial"/>
          <w:color w:val="333333"/>
          <w:sz w:val="22"/>
          <w:szCs w:val="22"/>
        </w:rPr>
        <w:t>isposición de activos, que incluye la transferencia total o parcial, incluso mediante</w:t>
      </w:r>
      <w:r w:rsidR="00313D90">
        <w:rPr>
          <w:rFonts w:asciiTheme="minorHAnsi" w:hAnsiTheme="minorHAnsi" w:cs="Arial"/>
          <w:color w:val="333333"/>
          <w:sz w:val="22"/>
          <w:szCs w:val="22"/>
        </w:rPr>
        <w:t xml:space="preserve"> la permuta de bienes inmuebles y de c</w:t>
      </w:r>
      <w:r w:rsidR="00313D90" w:rsidRPr="00C65467">
        <w:rPr>
          <w:rFonts w:asciiTheme="minorHAnsi" w:hAnsiTheme="minorHAnsi" w:cs="Arial"/>
          <w:color w:val="333333"/>
          <w:sz w:val="22"/>
          <w:szCs w:val="22"/>
        </w:rPr>
        <w:t>ontrato de cesión de uso, arrendamiento, superficie, usufructo u otras modalidades permitidas por ley.</w:t>
      </w:r>
    </w:p>
    <w:p w14:paraId="70F203C6" w14:textId="77777777" w:rsidR="00313D90" w:rsidRPr="00313D90" w:rsidRDefault="00313D90" w:rsidP="00313D90">
      <w:pPr>
        <w:pStyle w:val="textocontenidos"/>
        <w:shd w:val="clear" w:color="auto" w:fill="FFFFFF"/>
        <w:spacing w:before="0" w:beforeAutospacing="0" w:after="0" w:afterAutospacing="0" w:line="360" w:lineRule="auto"/>
        <w:jc w:val="both"/>
        <w:textAlignment w:val="baseline"/>
        <w:rPr>
          <w:rFonts w:asciiTheme="minorHAnsi" w:hAnsiTheme="minorHAnsi" w:cs="Arial"/>
          <w:color w:val="333333"/>
          <w:sz w:val="22"/>
          <w:szCs w:val="22"/>
        </w:rPr>
      </w:pPr>
    </w:p>
    <w:p w14:paraId="0F87B6EC" w14:textId="77777777" w:rsidR="00B35EB9" w:rsidRDefault="00B35EB9" w:rsidP="00B35EB9">
      <w:pPr>
        <w:autoSpaceDE w:val="0"/>
        <w:autoSpaceDN w:val="0"/>
        <w:adjustRightInd w:val="0"/>
        <w:spacing w:after="0" w:line="360" w:lineRule="auto"/>
        <w:jc w:val="both"/>
        <w:rPr>
          <w:rFonts w:cs="FuturaBT-Light"/>
        </w:rPr>
      </w:pPr>
      <w:r>
        <w:rPr>
          <w:rFonts w:cs="FuturaBT-Light"/>
        </w:rPr>
        <w:t xml:space="preserve">De otra parte sobre los fideicomisos: </w:t>
      </w:r>
    </w:p>
    <w:p w14:paraId="6481361A" w14:textId="77777777" w:rsidR="00B35EB9" w:rsidRPr="0058422A" w:rsidRDefault="00B35EB9" w:rsidP="00B35EB9">
      <w:pPr>
        <w:autoSpaceDE w:val="0"/>
        <w:autoSpaceDN w:val="0"/>
        <w:adjustRightInd w:val="0"/>
        <w:spacing w:after="0" w:line="360" w:lineRule="auto"/>
        <w:ind w:left="708"/>
        <w:jc w:val="both"/>
        <w:rPr>
          <w:rFonts w:cs="FuturaBT-Light"/>
        </w:rPr>
      </w:pPr>
      <w:r w:rsidRPr="00B35EB9">
        <w:rPr>
          <w:rFonts w:cs="FuturaBT-Light"/>
          <w:i/>
        </w:rPr>
        <w:lastRenderedPageBreak/>
        <w:t>“Los gobiernos regionales pueden constituir fideicomisos, incluyendo Fideicomisos de Titulización, para obtener financiamiento y desarrollar proyectos de infraestructura que sobrepasen su capacidad financiera durante el período de construcción; en otras palabras, que permitan traer a valor presente flujos de rentas regionales de años futuros. Si bien existen ciertos límites legales a la disposición del canon, lo cierto es que en términos generales una buena parte del mismo puede ser afectado en fideicomiso para el desarrollo de proyectos de infraestructura regional”</w:t>
      </w:r>
      <w:r>
        <w:rPr>
          <w:rFonts w:cs="FuturaBT-Light"/>
        </w:rPr>
        <w:t xml:space="preserve">   (Núñez y Tantaleán: 357)</w:t>
      </w:r>
    </w:p>
    <w:p w14:paraId="4C057064" w14:textId="77777777" w:rsidR="00B35EB9" w:rsidRDefault="00B35EB9" w:rsidP="008B5F29">
      <w:pPr>
        <w:spacing w:line="360" w:lineRule="auto"/>
        <w:jc w:val="both"/>
      </w:pPr>
    </w:p>
    <w:p w14:paraId="07B58A38" w14:textId="77777777" w:rsidR="00435F14" w:rsidRDefault="00435F14" w:rsidP="008B5F29">
      <w:pPr>
        <w:spacing w:line="360" w:lineRule="auto"/>
        <w:jc w:val="both"/>
      </w:pPr>
      <w:r>
        <w:t xml:space="preserve">Según información del portal de </w:t>
      </w:r>
      <w:r w:rsidR="00D96519">
        <w:t xml:space="preserve"> PROINVERSION (2017</w:t>
      </w:r>
      <w:r w:rsidR="00FF104F">
        <w:t>)</w:t>
      </w:r>
      <w:r>
        <w:t xml:space="preserve"> en la Región Cajamarca, se  promovieron y adjudicaron</w:t>
      </w:r>
      <w:r w:rsidR="00E300A8">
        <w:t xml:space="preserve">  </w:t>
      </w:r>
      <w:r>
        <w:t xml:space="preserve"> </w:t>
      </w:r>
      <w:r w:rsidR="006E0617">
        <w:t>tres proyectos</w:t>
      </w:r>
      <w:r>
        <w:t xml:space="preserve"> por </w:t>
      </w:r>
      <w:r w:rsidR="00B13DEB">
        <w:t xml:space="preserve"> la m</w:t>
      </w:r>
      <w:r w:rsidR="009C6856">
        <w:t xml:space="preserve">odalidad </w:t>
      </w:r>
      <w:r w:rsidR="00B13DEB">
        <w:t>de APP</w:t>
      </w:r>
      <w:r w:rsidR="009C6856">
        <w:t xml:space="preserve">, por </w:t>
      </w:r>
      <w:r w:rsidR="00E300A8">
        <w:t xml:space="preserve"> parte de</w:t>
      </w:r>
      <w:r w:rsidR="009C6856">
        <w:t xml:space="preserve"> </w:t>
      </w:r>
      <w:r>
        <w:t>Pro Inversión</w:t>
      </w:r>
      <w:r w:rsidR="00B0666F">
        <w:t xml:space="preserve"> en coordinación con los Ministerios  de Transportes y C</w:t>
      </w:r>
      <w:r w:rsidR="006E0617">
        <w:t xml:space="preserve">omunicaciones y </w:t>
      </w:r>
      <w:r>
        <w:t xml:space="preserve"> </w:t>
      </w:r>
      <w:r w:rsidR="006E0617">
        <w:t>Energía</w:t>
      </w:r>
      <w:r w:rsidR="009C6856">
        <w:t>, pero</w:t>
      </w:r>
      <w:r>
        <w:t xml:space="preserve"> no se registra información de proyectos</w:t>
      </w:r>
      <w:r w:rsidR="009C6856">
        <w:t xml:space="preserve"> que por </w:t>
      </w:r>
      <w:r>
        <w:t xml:space="preserve"> esta modalidad  hayan s</w:t>
      </w:r>
      <w:r w:rsidR="00E300A8">
        <w:t xml:space="preserve">ido promovidos por el </w:t>
      </w:r>
      <w:r w:rsidR="00F21DC2">
        <w:t>gobierno r</w:t>
      </w:r>
      <w:r>
        <w:t xml:space="preserve">egional de Cajamarca. </w:t>
      </w:r>
    </w:p>
    <w:p w14:paraId="5A842A4F" w14:textId="77777777" w:rsidR="00FF104F" w:rsidRDefault="00D96519" w:rsidP="008B5F29">
      <w:pPr>
        <w:spacing w:line="360" w:lineRule="auto"/>
        <w:jc w:val="both"/>
      </w:pPr>
      <w:r>
        <w:t>Asimismo,  PROINVERSION (2017</w:t>
      </w:r>
      <w:r w:rsidR="00FF104F">
        <w:t>) precisa que</w:t>
      </w:r>
      <w:r w:rsidR="00B13DEB">
        <w:t>,</w:t>
      </w:r>
      <w:r w:rsidR="00FF104F">
        <w:t xml:space="preserve"> e</w:t>
      </w:r>
      <w:r w:rsidR="00BC2FAA">
        <w:t>l Gobierno R</w:t>
      </w:r>
      <w:r w:rsidR="00BC2FAA" w:rsidRPr="00BC2FAA">
        <w:t>egional de</w:t>
      </w:r>
      <w:r w:rsidR="00BC2FAA">
        <w:t xml:space="preserve"> Cajamarca para el año 2016 tuvo aprobado</w:t>
      </w:r>
      <w:r w:rsidR="00E300A8">
        <w:t xml:space="preserve"> por el Ministerio de Economía y</w:t>
      </w:r>
      <w:r w:rsidR="00BC2FAA">
        <w:t xml:space="preserve"> Finanzas como límite para </w:t>
      </w:r>
      <w:r w:rsidR="00E300A8">
        <w:t xml:space="preserve"> la </w:t>
      </w:r>
      <w:r w:rsidR="00BC2FAA">
        <w:t>emisión de</w:t>
      </w:r>
      <w:r w:rsidR="00B13DEB">
        <w:t xml:space="preserve"> certificados de inversión pública regional y l</w:t>
      </w:r>
      <w:r w:rsidR="00F64433">
        <w:t>ocal (</w:t>
      </w:r>
      <w:r w:rsidR="00BC2FAA">
        <w:t>CIPRL</w:t>
      </w:r>
      <w:r w:rsidR="00F64433">
        <w:t>)</w:t>
      </w:r>
      <w:r w:rsidR="00F21DC2">
        <w:t xml:space="preserve"> para o</w:t>
      </w:r>
      <w:r w:rsidR="00435F14">
        <w:t>bras  por Impuestos,</w:t>
      </w:r>
      <w:r w:rsidR="00BC2FAA">
        <w:t xml:space="preserve"> hasta 150 millones de nuevos soles</w:t>
      </w:r>
      <w:r w:rsidR="00CC4C88">
        <w:t>,</w:t>
      </w:r>
      <w:r w:rsidR="00BC2FAA">
        <w:t xml:space="preserve"> de los cuales solo ha efectuado uso por 8.8 millones </w:t>
      </w:r>
      <w:r w:rsidR="00B13DEB">
        <w:t>de soles</w:t>
      </w:r>
      <w:r w:rsidR="00BC2FAA">
        <w:t xml:space="preserve"> para el proyecto “Mejoramiento del crecimiento y desarrollo de los niños y niñas”</w:t>
      </w:r>
      <w:r w:rsidR="00FF104F">
        <w:t>.</w:t>
      </w:r>
    </w:p>
    <w:p w14:paraId="1B57F9BC" w14:textId="77777777" w:rsidR="00EB42D0" w:rsidRPr="008B5F29" w:rsidRDefault="00FF104F" w:rsidP="001F3FDA">
      <w:pPr>
        <w:spacing w:line="360" w:lineRule="auto"/>
        <w:jc w:val="both"/>
      </w:pPr>
      <w:r>
        <w:t xml:space="preserve">De acuerdo a lo señalado </w:t>
      </w:r>
      <w:r w:rsidR="00313D90">
        <w:t xml:space="preserve">y de la información disponible, </w:t>
      </w:r>
      <w:r>
        <w:t xml:space="preserve">se evidencia </w:t>
      </w:r>
      <w:r w:rsidR="00BC2FAA">
        <w:t xml:space="preserve"> el  poco uso de</w:t>
      </w:r>
      <w:r w:rsidR="00313D90">
        <w:t xml:space="preserve"> las APP, </w:t>
      </w:r>
      <w:r>
        <w:t xml:space="preserve"> OxO</w:t>
      </w:r>
      <w:r w:rsidR="00313D90">
        <w:t>, proyectos en activos,  y fideicomisos,</w:t>
      </w:r>
      <w:r>
        <w:t xml:space="preserve"> como</w:t>
      </w:r>
      <w:r w:rsidR="00BC2FAA">
        <w:t xml:space="preserve"> instrumento</w:t>
      </w:r>
      <w:r>
        <w:t>s</w:t>
      </w:r>
      <w:r w:rsidR="00E300A8">
        <w:t xml:space="preserve">  de financiamiento</w:t>
      </w:r>
      <w:r>
        <w:t>, habiéndose  financiado la infraestructura y proyectos de desarrollo en general</w:t>
      </w:r>
      <w:r w:rsidR="00091629">
        <w:t xml:space="preserve"> a través de </w:t>
      </w:r>
      <w:r w:rsidR="00E300A8">
        <w:t xml:space="preserve"> la </w:t>
      </w:r>
      <w:r w:rsidR="00091629">
        <w:t xml:space="preserve">inversión pública, lo que está contribuyendo a que no se acelere el proceso de cierre de brechas sociales y de infraestructura. </w:t>
      </w:r>
    </w:p>
    <w:p w14:paraId="19145D64" w14:textId="77777777" w:rsidR="00C65467" w:rsidRPr="00C65467" w:rsidRDefault="00C65467" w:rsidP="00C65467">
      <w:pPr>
        <w:pStyle w:val="textocontenidos"/>
        <w:shd w:val="clear" w:color="auto" w:fill="FFFFFF"/>
        <w:spacing w:before="0" w:beforeAutospacing="0" w:after="0" w:afterAutospacing="0" w:line="360" w:lineRule="auto"/>
        <w:jc w:val="both"/>
        <w:textAlignment w:val="baseline"/>
        <w:rPr>
          <w:rFonts w:asciiTheme="minorHAnsi" w:hAnsiTheme="minorHAnsi" w:cs="Arial"/>
          <w:color w:val="333333"/>
          <w:sz w:val="22"/>
          <w:szCs w:val="22"/>
        </w:rPr>
      </w:pPr>
    </w:p>
    <w:p w14:paraId="3D4F92BB" w14:textId="77777777" w:rsidR="00297741" w:rsidRDefault="00297741" w:rsidP="008B5F29">
      <w:pPr>
        <w:spacing w:line="360" w:lineRule="auto"/>
        <w:rPr>
          <w:b/>
        </w:rPr>
      </w:pPr>
      <w:r>
        <w:rPr>
          <w:b/>
        </w:rPr>
        <w:t>Descentralización fiscal</w:t>
      </w:r>
    </w:p>
    <w:p w14:paraId="30BCDBC3" w14:textId="77777777" w:rsidR="00785BCA" w:rsidRDefault="00785BCA" w:rsidP="0098309A">
      <w:pPr>
        <w:spacing w:line="360" w:lineRule="auto"/>
        <w:jc w:val="both"/>
      </w:pPr>
      <w:r>
        <w:t xml:space="preserve">La tradicional teoría </w:t>
      </w:r>
      <w:r w:rsidR="002C63AD">
        <w:t>“</w:t>
      </w:r>
      <w:r>
        <w:t>normativa</w:t>
      </w:r>
      <w:r w:rsidR="002C63AD">
        <w:t>”</w:t>
      </w:r>
      <w:r w:rsidR="0025091F">
        <w:t xml:space="preserve"> del descentralización y federalismo fiscal </w:t>
      </w:r>
      <w:r>
        <w:t xml:space="preserve"> </w:t>
      </w:r>
      <w:r w:rsidR="0025091F">
        <w:t>“</w:t>
      </w:r>
      <w:r>
        <w:t>de primera generación</w:t>
      </w:r>
      <w:r w:rsidR="0025091F">
        <w:t>”</w:t>
      </w:r>
      <w:r>
        <w:t>, reflejada en los trabajos de Musgrave (19</w:t>
      </w:r>
      <w:r w:rsidR="00F73204">
        <w:t>9</w:t>
      </w:r>
      <w:r>
        <w:t>6), Oates (1972) y Tiebout (1961), enfatizan los ben</w:t>
      </w:r>
      <w:r w:rsidR="00B13DEB">
        <w:t xml:space="preserve">eficios </w:t>
      </w:r>
      <w:r>
        <w:t>en términos de eficiencia en la asignación de recursos, apoyado</w:t>
      </w:r>
      <w:r w:rsidR="00B13DEB">
        <w:t>s</w:t>
      </w:r>
      <w:r>
        <w:t xml:space="preserve"> en los supuestos acerca de la facilidad con que las descentralización podría dar lugar a una gobernanza </w:t>
      </w:r>
      <w:r w:rsidR="006C53B1">
        <w:t>eficaz</w:t>
      </w:r>
      <w:r w:rsidR="00B13DEB">
        <w:t xml:space="preserve"> y</w:t>
      </w:r>
      <w:r>
        <w:t xml:space="preserve"> basados en la experiencia de países avanzados donde los gobiernos subnacionales son relativamente transparentes y eficaces.</w:t>
      </w:r>
    </w:p>
    <w:p w14:paraId="58479AC9" w14:textId="77777777" w:rsidR="00785BCA" w:rsidRDefault="00AC0791" w:rsidP="0098309A">
      <w:pPr>
        <w:spacing w:line="360" w:lineRule="auto"/>
        <w:jc w:val="both"/>
      </w:pPr>
      <w:r>
        <w:t>La teoría reciente de descentralización fiscal</w:t>
      </w:r>
      <w:r w:rsidR="0025091F">
        <w:t xml:space="preserve"> “</w:t>
      </w:r>
      <w:r>
        <w:t>de segunda generación</w:t>
      </w:r>
      <w:r w:rsidR="0025091F">
        <w:t>”</w:t>
      </w:r>
      <w:r>
        <w:t xml:space="preserve">, es de carácter “positiva” sustentada </w:t>
      </w:r>
      <w:r w:rsidR="00FE2957">
        <w:t>en el</w:t>
      </w:r>
      <w:r>
        <w:t xml:space="preserve"> trabajo de Weingast (2009), quien ha puesto en duda el realismo de aquellos supuestos especialmente en l</w:t>
      </w:r>
      <w:r w:rsidR="00F21DC2">
        <w:t>os países en desarrollo, por la</w:t>
      </w:r>
      <w:r>
        <w:t xml:space="preserve"> fr</w:t>
      </w:r>
      <w:r w:rsidR="0025091F">
        <w:t>agilidad institucional y lazos étnico</w:t>
      </w:r>
      <w:r w:rsidR="00301E02">
        <w:t>s</w:t>
      </w:r>
      <w:r w:rsidR="0025091F">
        <w:t xml:space="preserve"> </w:t>
      </w:r>
      <w:r w:rsidR="0025091F">
        <w:lastRenderedPageBreak/>
        <w:t>reg</w:t>
      </w:r>
      <w:r w:rsidR="00CC4C88">
        <w:t>ionales;</w:t>
      </w:r>
      <w:r>
        <w:t xml:space="preserve"> sin embargo, hace</w:t>
      </w:r>
      <w:r w:rsidR="0025091F">
        <w:t>n</w:t>
      </w:r>
      <w:r>
        <w:t xml:space="preserve"> hincapié en la importancia de las influencias compensatorias y en la necesidad de equilibrar las fuerzas centrípetas y centrífugas para hacer una efectiva descentralización. </w:t>
      </w:r>
    </w:p>
    <w:p w14:paraId="4E09EDC8" w14:textId="77777777" w:rsidR="0098309A" w:rsidRDefault="00AC0791" w:rsidP="0098309A">
      <w:pPr>
        <w:spacing w:line="360" w:lineRule="auto"/>
        <w:jc w:val="both"/>
      </w:pPr>
      <w:r>
        <w:t xml:space="preserve">En este sentido, la CEPAL </w:t>
      </w:r>
      <w:r w:rsidR="00CC4C88">
        <w:t xml:space="preserve"> (2015),  considera que</w:t>
      </w:r>
      <w:r w:rsidR="0098309A">
        <w:t xml:space="preserve"> tradicionalmente</w:t>
      </w:r>
      <w:r w:rsidR="0025091F">
        <w:t xml:space="preserve"> se</w:t>
      </w:r>
      <w:r w:rsidR="0098309A">
        <w:t xml:space="preserve"> ha  efectuado hincapié en que se genera eficiencia cuando se  asigna fuentes significativas de ingresos propios a los gobiernos subnacionales, pero también reconoce los obstáculos económicos, institucionales y políticos que enfrenta la descentralización de ingresos, </w:t>
      </w:r>
      <w:r w:rsidR="00F21DC2">
        <w:t>además</w:t>
      </w:r>
      <w:r w:rsidR="00B13DEB">
        <w:t>,</w:t>
      </w:r>
      <w:r w:rsidR="00F21DC2">
        <w:t xml:space="preserve"> </w:t>
      </w:r>
      <w:r w:rsidR="0098309A">
        <w:t>las comparaciones internacionales indican que  en América Latina, la descentralización de ingresos está mucho menos avanzada que  los países de  la Cooperación para la Cooperación y  el Desarrollo Económico (OCDE)</w:t>
      </w:r>
      <w:r w:rsidR="0025091F">
        <w:t xml:space="preserve"> y es difícil encontrar en América Latina, explicaciones empíricas robustas del grado de descentralización de los ingresos.</w:t>
      </w:r>
    </w:p>
    <w:p w14:paraId="6DF3E68C" w14:textId="77777777" w:rsidR="00D53AB1" w:rsidRDefault="002C63AD" w:rsidP="0098309A">
      <w:pPr>
        <w:spacing w:line="360" w:lineRule="auto"/>
        <w:jc w:val="both"/>
      </w:pPr>
      <w:r>
        <w:t>A pesar de las discrepancias señaladas, las teorías posit</w:t>
      </w:r>
      <w:r w:rsidR="00D53AB1">
        <w:t>ivas y normativas de descentralización</w:t>
      </w:r>
      <w:r>
        <w:t xml:space="preserve"> fiscal reconocen los beneficios de entregar un importante grado de autonomía a los gobiernos subnacionales en la toma de decisiones sobre el nivel y la composición de sus ingresos. Entre los beneficios se consideran: La mayor eficiencia, la movilización de recursos adicionales, la responsabilidad fiscal y política, conformidad con las preferencias locales</w:t>
      </w:r>
      <w:r w:rsidR="00D53AB1">
        <w:t xml:space="preserve"> y previsibilidad fiscal</w:t>
      </w:r>
      <w:r>
        <w:t>; pero también se reconocen  restricciones de carácter económicas, institucionales y limitaciones políticas</w:t>
      </w:r>
      <w:r w:rsidR="00D53AB1">
        <w:t>.</w:t>
      </w:r>
    </w:p>
    <w:p w14:paraId="40E08158" w14:textId="77777777" w:rsidR="00D53AB1" w:rsidRPr="0098309A" w:rsidRDefault="00D53AB1" w:rsidP="0025091F">
      <w:pPr>
        <w:spacing w:line="360" w:lineRule="auto"/>
        <w:jc w:val="both"/>
      </w:pPr>
      <w:r>
        <w:t xml:space="preserve">De los beneficios </w:t>
      </w:r>
      <w:r w:rsidR="002C63AD">
        <w:t xml:space="preserve"> </w:t>
      </w:r>
      <w:r>
        <w:t>de la descentralización</w:t>
      </w:r>
      <w:r w:rsidR="0025091F">
        <w:t xml:space="preserve"> fiscal</w:t>
      </w:r>
      <w:r>
        <w:t xml:space="preserve">, por su importancia quiero referirme al de </w:t>
      </w:r>
      <w:r w:rsidR="0025091F">
        <w:t>“</w:t>
      </w:r>
      <w:r w:rsidR="003754ED">
        <w:t>p</w:t>
      </w:r>
      <w:r>
        <w:t>revisibilidad fiscal</w:t>
      </w:r>
      <w:r w:rsidR="0025091F">
        <w:t>”</w:t>
      </w:r>
      <w:r>
        <w:t xml:space="preserve">, ya que el financiamiento con ingresos propios </w:t>
      </w:r>
      <w:r w:rsidR="009729BE">
        <w:t xml:space="preserve"> a las r</w:t>
      </w:r>
      <w:r w:rsidR="0025091F">
        <w:t xml:space="preserve">egiones </w:t>
      </w:r>
      <w:r>
        <w:t>proporciona</w:t>
      </w:r>
      <w:r w:rsidR="0025091F">
        <w:t>ría</w:t>
      </w:r>
      <w:r>
        <w:t xml:space="preserve"> una mayor segu</w:t>
      </w:r>
      <w:r w:rsidR="009729BE">
        <w:t xml:space="preserve">ridad </w:t>
      </w:r>
      <w:r>
        <w:t xml:space="preserve"> en comparación con las transferencias del gobi</w:t>
      </w:r>
      <w:r w:rsidR="0025091F">
        <w:t>erno nacional, que suelen ser má</w:t>
      </w:r>
      <w:r w:rsidR="009729BE">
        <w:t>s volátiles,</w:t>
      </w:r>
      <w:r>
        <w:t xml:space="preserve"> especialmente cuando se basan en recursos naturales</w:t>
      </w:r>
      <w:r w:rsidR="003754ED">
        <w:t xml:space="preserve"> como es el canon minero en la r</w:t>
      </w:r>
      <w:r>
        <w:t xml:space="preserve">egión Cajamarca. Una fuerte base tributaria regional puede facilitar la preparación de presupuestos más realistas,  efectuar proyecciones de presupuestos multianuales y reducir la volatilidad de la ejecución.    </w:t>
      </w:r>
    </w:p>
    <w:p w14:paraId="7FCEE9CD" w14:textId="77777777" w:rsidR="0025091F" w:rsidRDefault="0025091F" w:rsidP="0025091F">
      <w:pPr>
        <w:autoSpaceDE w:val="0"/>
        <w:autoSpaceDN w:val="0"/>
        <w:adjustRightInd w:val="0"/>
        <w:spacing w:after="0" w:line="360" w:lineRule="auto"/>
        <w:jc w:val="both"/>
        <w:rPr>
          <w:rFonts w:ascii="Calibri" w:hAnsi="Calibri" w:cs="Calibri"/>
        </w:rPr>
      </w:pPr>
      <w:r>
        <w:rPr>
          <w:rFonts w:ascii="Calibri" w:hAnsi="Calibri" w:cs="Calibri"/>
        </w:rPr>
        <w:t xml:space="preserve">Considero que se debe incluir como parte de la agenda nacional el tema de la descentralización fiscal regional,  y retomar el debate  a partir de algunas propuestas e ideas presentados por organismos </w:t>
      </w:r>
      <w:r w:rsidR="003754ED">
        <w:rPr>
          <w:rFonts w:ascii="Calibri" w:hAnsi="Calibri" w:cs="Calibri"/>
        </w:rPr>
        <w:t xml:space="preserve">nacionales e </w:t>
      </w:r>
      <w:r>
        <w:rPr>
          <w:rFonts w:ascii="Calibri" w:hAnsi="Calibri" w:cs="Calibri"/>
        </w:rPr>
        <w:t xml:space="preserve">internacionales </w:t>
      </w:r>
      <w:r w:rsidR="00376555">
        <w:rPr>
          <w:rFonts w:ascii="Calibri" w:hAnsi="Calibri" w:cs="Calibri"/>
        </w:rPr>
        <w:t xml:space="preserve"> como  el Banco Interamericano de Desarrollo (2016), entre las que destacan la coparticipación de ingresos, nuevos impuestos regionales, impuestos verdes  e impuestos específicos sobre servicios públicos,  que se comenta brevemente a continuación.</w:t>
      </w:r>
    </w:p>
    <w:p w14:paraId="3FEC5FB3" w14:textId="77777777" w:rsidR="0025091F" w:rsidRDefault="0025091F" w:rsidP="0025091F">
      <w:pPr>
        <w:autoSpaceDE w:val="0"/>
        <w:autoSpaceDN w:val="0"/>
        <w:adjustRightInd w:val="0"/>
        <w:spacing w:after="0" w:line="360" w:lineRule="auto"/>
        <w:jc w:val="both"/>
        <w:rPr>
          <w:rFonts w:ascii="Calibri" w:hAnsi="Calibri" w:cs="Calibri"/>
        </w:rPr>
      </w:pPr>
    </w:p>
    <w:p w14:paraId="6A20242D" w14:textId="77777777" w:rsidR="004D17A3" w:rsidRPr="004D17A3" w:rsidRDefault="0025091F" w:rsidP="004D17A3">
      <w:pPr>
        <w:autoSpaceDE w:val="0"/>
        <w:autoSpaceDN w:val="0"/>
        <w:adjustRightInd w:val="0"/>
        <w:spacing w:after="0" w:line="360" w:lineRule="auto"/>
        <w:jc w:val="both"/>
        <w:rPr>
          <w:rFonts w:ascii="Calibri" w:hAnsi="Calibri" w:cs="Calibri"/>
        </w:rPr>
      </w:pPr>
      <w:r>
        <w:rPr>
          <w:rFonts w:ascii="Calibri" w:hAnsi="Calibri" w:cs="Calibri"/>
        </w:rPr>
        <w:t>La coparticipación de ingresos para niveles intermedios de gobierno en base a impuestos administrados por el gobierno central</w:t>
      </w:r>
      <w:r w:rsidR="00CC4C88">
        <w:rPr>
          <w:rFonts w:ascii="Calibri" w:hAnsi="Calibri" w:cs="Calibri"/>
        </w:rPr>
        <w:t>,</w:t>
      </w:r>
      <w:r>
        <w:rPr>
          <w:rFonts w:ascii="Calibri" w:hAnsi="Calibri" w:cs="Calibri"/>
        </w:rPr>
        <w:t xml:space="preserve"> como el impuesto a la renta o el impuesto al valor agregado, suelen concebirse  como opciones interesantes  que pueden contribuir a incrementar la autonomía de los gobiernos regionales, sin embargo</w:t>
      </w:r>
      <w:r w:rsidR="00CC4C88">
        <w:rPr>
          <w:rFonts w:ascii="Calibri" w:hAnsi="Calibri" w:cs="Calibri"/>
        </w:rPr>
        <w:t>,</w:t>
      </w:r>
      <w:r>
        <w:rPr>
          <w:rFonts w:ascii="Calibri" w:hAnsi="Calibri" w:cs="Calibri"/>
        </w:rPr>
        <w:t xml:space="preserve"> es posible que sea re</w:t>
      </w:r>
      <w:r w:rsidR="003754ED">
        <w:rPr>
          <w:rFonts w:ascii="Calibri" w:hAnsi="Calibri" w:cs="Calibri"/>
        </w:rPr>
        <w:t>sistida por el gobierno nacional</w:t>
      </w:r>
      <w:r w:rsidR="004D17A3">
        <w:rPr>
          <w:rFonts w:ascii="Calibri" w:hAnsi="Calibri" w:cs="Calibri"/>
        </w:rPr>
        <w:t xml:space="preserve"> </w:t>
      </w:r>
      <w:r w:rsidR="004D17A3" w:rsidRPr="004D17A3">
        <w:rPr>
          <w:rFonts w:eastAsia="MyriadPro-Regular" w:cs="MyriadPro-Regular"/>
          <w:i/>
        </w:rPr>
        <w:t xml:space="preserve"> “</w:t>
      </w:r>
      <w:r w:rsidR="004D17A3">
        <w:rPr>
          <w:rFonts w:eastAsia="MyriadPro-Regular" w:cs="MyriadPro-Regular"/>
          <w:i/>
        </w:rPr>
        <w:t xml:space="preserve">El </w:t>
      </w:r>
      <w:r w:rsidR="0013702B">
        <w:rPr>
          <w:rFonts w:eastAsia="MyriadPro-Regular" w:cs="MyriadPro-Regular"/>
          <w:i/>
        </w:rPr>
        <w:t xml:space="preserve">modelo de </w:t>
      </w:r>
      <w:r w:rsidR="006C53B1">
        <w:rPr>
          <w:rFonts w:eastAsia="MyriadPro-Regular" w:cs="MyriadPro-Regular"/>
          <w:i/>
        </w:rPr>
        <w:t>coparticipació</w:t>
      </w:r>
      <w:r w:rsidR="006C53B1" w:rsidRPr="004D17A3">
        <w:rPr>
          <w:rFonts w:eastAsia="MyriadPro-Regular" w:cs="MyriadPro-Regular"/>
          <w:i/>
        </w:rPr>
        <w:t>n</w:t>
      </w:r>
      <w:r w:rsidR="004D17A3" w:rsidRPr="004D17A3">
        <w:rPr>
          <w:rFonts w:eastAsia="MyriadPro-Regular" w:cs="MyriadPro-Regular"/>
          <w:i/>
        </w:rPr>
        <w:t xml:space="preserve"> propuesto </w:t>
      </w:r>
      <w:r w:rsidR="004D17A3">
        <w:rPr>
          <w:rFonts w:eastAsia="MyriadPro-Regular" w:cs="MyriadPro-Regular"/>
          <w:i/>
        </w:rPr>
        <w:t>mejora la asignació</w:t>
      </w:r>
      <w:r w:rsidR="004D17A3" w:rsidRPr="004D17A3">
        <w:rPr>
          <w:rFonts w:eastAsia="MyriadPro-Regular" w:cs="MyriadPro-Regular"/>
          <w:i/>
        </w:rPr>
        <w:t>n y logra mayor equidad</w:t>
      </w:r>
      <w:r w:rsidR="004D17A3">
        <w:rPr>
          <w:rFonts w:eastAsia="MyriadPro-Regular" w:cs="MyriadPro-Regular"/>
          <w:i/>
        </w:rPr>
        <w:t xml:space="preserve"> </w:t>
      </w:r>
      <w:r w:rsidR="004D17A3" w:rsidRPr="004D17A3">
        <w:rPr>
          <w:rFonts w:eastAsia="MyriadPro-Regular" w:cs="MyriadPro-Regular"/>
          <w:i/>
        </w:rPr>
        <w:t xml:space="preserve">entre los gobiernos regionales” </w:t>
      </w:r>
      <w:r w:rsidR="004D17A3" w:rsidRPr="004D17A3">
        <w:rPr>
          <w:rFonts w:eastAsia="MyriadPro-Regular" w:cs="MyriadPro-Regular"/>
        </w:rPr>
        <w:t>(Asamblea Nacional de Gobiernos Regionales : 61)</w:t>
      </w:r>
    </w:p>
    <w:p w14:paraId="6E18BD7E" w14:textId="77777777" w:rsidR="0025091F" w:rsidRDefault="0025091F" w:rsidP="0025091F">
      <w:pPr>
        <w:autoSpaceDE w:val="0"/>
        <w:autoSpaceDN w:val="0"/>
        <w:adjustRightInd w:val="0"/>
        <w:spacing w:after="0" w:line="360" w:lineRule="auto"/>
        <w:jc w:val="both"/>
        <w:rPr>
          <w:rFonts w:ascii="Calibri" w:hAnsi="Calibri" w:cs="Calibri"/>
        </w:rPr>
      </w:pPr>
    </w:p>
    <w:p w14:paraId="462A813C" w14:textId="77777777" w:rsidR="00DD6133" w:rsidRDefault="0025091F" w:rsidP="0025091F">
      <w:pPr>
        <w:autoSpaceDE w:val="0"/>
        <w:autoSpaceDN w:val="0"/>
        <w:adjustRightInd w:val="0"/>
        <w:spacing w:after="0" w:line="360" w:lineRule="auto"/>
        <w:jc w:val="both"/>
        <w:rPr>
          <w:rFonts w:ascii="Calibri" w:hAnsi="Calibri" w:cs="Calibri"/>
        </w:rPr>
      </w:pPr>
      <w:r>
        <w:rPr>
          <w:rFonts w:ascii="Calibri" w:hAnsi="Calibri" w:cs="Calibri"/>
        </w:rPr>
        <w:t>Nuevos impuestos regionales, es otra opción, pero es un proceso difícil, donde es muy importante evitar malas elecciones de impuestos como encontrar nuevos gravámenes que puedan proporcionar autonomía financiera a los gobiernos regionales</w:t>
      </w:r>
      <w:r w:rsidR="00DD6133">
        <w:rPr>
          <w:rFonts w:ascii="Calibri" w:hAnsi="Calibri" w:cs="Calibri"/>
        </w:rPr>
        <w:t>. Crear nuevos impuestos requiere de</w:t>
      </w:r>
      <w:r>
        <w:rPr>
          <w:rFonts w:ascii="Calibri" w:hAnsi="Calibri" w:cs="Calibri"/>
        </w:rPr>
        <w:t xml:space="preserve"> aceptabilidad política </w:t>
      </w:r>
      <w:r w:rsidR="00AD72C1">
        <w:rPr>
          <w:rFonts w:ascii="Calibri" w:hAnsi="Calibri" w:cs="Calibri"/>
        </w:rPr>
        <w:t xml:space="preserve">que </w:t>
      </w:r>
      <w:r>
        <w:rPr>
          <w:rFonts w:ascii="Calibri" w:hAnsi="Calibri" w:cs="Calibri"/>
        </w:rPr>
        <w:t>es un requisito clave para cualquier reforma tributaria y en principio no es realista esperar  apoyo político al au</w:t>
      </w:r>
      <w:r w:rsidR="00DD6133">
        <w:rPr>
          <w:rFonts w:ascii="Calibri" w:hAnsi="Calibri" w:cs="Calibri"/>
        </w:rPr>
        <w:t>mento de impuestos.</w:t>
      </w:r>
    </w:p>
    <w:p w14:paraId="67ACBB61" w14:textId="77777777" w:rsidR="00DD6133" w:rsidRDefault="00DD6133" w:rsidP="00DD6133">
      <w:pPr>
        <w:autoSpaceDE w:val="0"/>
        <w:autoSpaceDN w:val="0"/>
        <w:adjustRightInd w:val="0"/>
        <w:spacing w:after="0" w:line="360" w:lineRule="auto"/>
        <w:jc w:val="both"/>
        <w:rPr>
          <w:rFonts w:ascii="Calibri" w:hAnsi="Calibri" w:cs="Calibri"/>
        </w:rPr>
      </w:pPr>
    </w:p>
    <w:p w14:paraId="689D573F" w14:textId="77777777" w:rsidR="00C00821" w:rsidRPr="00C00821" w:rsidRDefault="00DD6133" w:rsidP="00C00821">
      <w:pPr>
        <w:autoSpaceDE w:val="0"/>
        <w:autoSpaceDN w:val="0"/>
        <w:adjustRightInd w:val="0"/>
        <w:spacing w:after="0" w:line="360" w:lineRule="auto"/>
        <w:jc w:val="both"/>
        <w:rPr>
          <w:rFonts w:ascii="Calibri" w:hAnsi="Calibri" w:cs="Calibri"/>
        </w:rPr>
      </w:pPr>
      <w:r>
        <w:rPr>
          <w:rFonts w:ascii="Calibri" w:hAnsi="Calibri" w:cs="Calibri"/>
        </w:rPr>
        <w:t>Impuestos relacionados con el medio ambiente, llamados impuestos verdes, pueden ofrecer una fuente innovadora y potencialmente importante de ingresos para los gobiernos regionales.</w:t>
      </w:r>
      <w:r w:rsidR="00874FAF">
        <w:rPr>
          <w:rFonts w:ascii="Calibri" w:hAnsi="Calibri" w:cs="Calibri"/>
        </w:rPr>
        <w:t xml:space="preserve"> </w:t>
      </w:r>
      <w:r>
        <w:rPr>
          <w:rFonts w:ascii="Calibri" w:hAnsi="Calibri" w:cs="Calibri"/>
        </w:rPr>
        <w:t>Otras fuentes posibles de ingresos pueden constituir impuestos específicos  sobre servicios públicos como electricidad y teléfonos, pero es posible que  se generen disparida</w:t>
      </w:r>
      <w:r w:rsidR="00C00821">
        <w:rPr>
          <w:rFonts w:ascii="Calibri" w:hAnsi="Calibri" w:cs="Calibri"/>
        </w:rPr>
        <w:t>des entre gobiernos regionales.</w:t>
      </w:r>
    </w:p>
    <w:p w14:paraId="7728F203" w14:textId="77777777" w:rsidR="00DD6133" w:rsidRDefault="00DD6133" w:rsidP="00DD6133">
      <w:pPr>
        <w:autoSpaceDE w:val="0"/>
        <w:autoSpaceDN w:val="0"/>
        <w:adjustRightInd w:val="0"/>
        <w:spacing w:after="0" w:line="360" w:lineRule="auto"/>
        <w:jc w:val="both"/>
        <w:rPr>
          <w:rFonts w:ascii="Calibri" w:hAnsi="Calibri" w:cs="Calibri"/>
        </w:rPr>
      </w:pPr>
    </w:p>
    <w:p w14:paraId="78D94D08" w14:textId="77777777" w:rsidR="002F441D" w:rsidRDefault="00DD6133" w:rsidP="00376555">
      <w:pPr>
        <w:autoSpaceDE w:val="0"/>
        <w:autoSpaceDN w:val="0"/>
        <w:adjustRightInd w:val="0"/>
        <w:spacing w:after="0" w:line="360" w:lineRule="auto"/>
        <w:jc w:val="both"/>
      </w:pPr>
      <w:r>
        <w:rPr>
          <w:rFonts w:ascii="Calibri" w:hAnsi="Calibri" w:cs="Calibri"/>
        </w:rPr>
        <w:t>En general</w:t>
      </w:r>
      <w:r w:rsidR="00CC4C88">
        <w:rPr>
          <w:rFonts w:ascii="Calibri" w:hAnsi="Calibri" w:cs="Calibri"/>
        </w:rPr>
        <w:t>,</w:t>
      </w:r>
      <w:r>
        <w:rPr>
          <w:rFonts w:ascii="Calibri" w:hAnsi="Calibri" w:cs="Calibri"/>
        </w:rPr>
        <w:t xml:space="preserve"> podemos concluir  sobre la descentralización fiscal que</w:t>
      </w:r>
      <w:r w:rsidR="00CC4C88">
        <w:rPr>
          <w:rFonts w:ascii="Calibri" w:hAnsi="Calibri" w:cs="Calibri"/>
        </w:rPr>
        <w:t>,</w:t>
      </w:r>
      <w:r>
        <w:rPr>
          <w:rFonts w:ascii="Calibri" w:hAnsi="Calibri" w:cs="Calibri"/>
        </w:rPr>
        <w:t xml:space="preserve"> no hay ingresos ideales para aumentar la autonomía de los gobiernos regionales en el Perú, pero debemos  avanzar progresivamente  en esta temática para dotarles a los gobiernos regionales de mayores </w:t>
      </w:r>
      <w:r>
        <w:t>ingresos propios que contribuyan a mejorar la planificación financiera de largo plazo y disminu</w:t>
      </w:r>
      <w:r w:rsidR="00376555">
        <w:t>ir la volatilidad presupuestal.</w:t>
      </w:r>
    </w:p>
    <w:p w14:paraId="436D1422" w14:textId="77777777" w:rsidR="00376555" w:rsidRPr="00376555" w:rsidRDefault="00376555" w:rsidP="00376555">
      <w:pPr>
        <w:autoSpaceDE w:val="0"/>
        <w:autoSpaceDN w:val="0"/>
        <w:adjustRightInd w:val="0"/>
        <w:spacing w:after="0" w:line="360" w:lineRule="auto"/>
        <w:jc w:val="both"/>
      </w:pPr>
    </w:p>
    <w:p w14:paraId="4AAA294D" w14:textId="77777777" w:rsidR="00297741" w:rsidRPr="008B5F29" w:rsidRDefault="00EB42D0" w:rsidP="008B5F29">
      <w:pPr>
        <w:spacing w:line="360" w:lineRule="auto"/>
        <w:rPr>
          <w:b/>
        </w:rPr>
      </w:pPr>
      <w:r w:rsidRPr="008B5F29">
        <w:rPr>
          <w:b/>
        </w:rPr>
        <w:t>Conclusiones</w:t>
      </w:r>
    </w:p>
    <w:p w14:paraId="7CFF5DB7" w14:textId="77777777" w:rsidR="00E60E3E" w:rsidRDefault="00DF4E1F" w:rsidP="009778D5">
      <w:pPr>
        <w:spacing w:line="360" w:lineRule="auto"/>
        <w:jc w:val="both"/>
        <w:rPr>
          <w:rStyle w:val="a"/>
          <w:color w:val="231F20"/>
          <w:bdr w:val="none" w:sz="0" w:space="0" w:color="auto" w:frame="1"/>
          <w:shd w:val="clear" w:color="auto" w:fill="FFFFFF"/>
        </w:rPr>
      </w:pPr>
      <w:r w:rsidRPr="008B5F29">
        <w:rPr>
          <w:rStyle w:val="a"/>
          <w:color w:val="231F20"/>
          <w:bdr w:val="none" w:sz="0" w:space="0" w:color="auto" w:frame="1"/>
          <w:shd w:val="clear" w:color="auto" w:fill="FFFFFF"/>
        </w:rPr>
        <w:t>En base a la discusión del presente</w:t>
      </w:r>
      <w:r w:rsidR="00E60E3E">
        <w:rPr>
          <w:rStyle w:val="a"/>
          <w:color w:val="231F20"/>
          <w:bdr w:val="none" w:sz="0" w:space="0" w:color="auto" w:frame="1"/>
          <w:shd w:val="clear" w:color="auto" w:fill="FFFFFF"/>
        </w:rPr>
        <w:t xml:space="preserve"> documento, </w:t>
      </w:r>
      <w:r w:rsidR="00FE2957">
        <w:rPr>
          <w:rStyle w:val="a"/>
          <w:color w:val="231F20"/>
          <w:bdr w:val="none" w:sz="0" w:space="0" w:color="auto" w:frame="1"/>
          <w:shd w:val="clear" w:color="auto" w:fill="FFFFFF"/>
        </w:rPr>
        <w:t>se concluye</w:t>
      </w:r>
      <w:r w:rsidR="00E60E3E">
        <w:rPr>
          <w:rStyle w:val="a"/>
          <w:color w:val="231F20"/>
          <w:bdr w:val="none" w:sz="0" w:space="0" w:color="auto" w:frame="1"/>
          <w:shd w:val="clear" w:color="auto" w:fill="FFFFFF"/>
        </w:rPr>
        <w:t xml:space="preserve"> que:</w:t>
      </w:r>
    </w:p>
    <w:p w14:paraId="6BBB2126" w14:textId="77777777" w:rsidR="00FE2957" w:rsidRDefault="004D3A8A" w:rsidP="0096728B">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t xml:space="preserve">Cajamarca es una región </w:t>
      </w:r>
      <w:r w:rsidR="00FE2957" w:rsidRPr="00FE2957">
        <w:rPr>
          <w:rFonts w:cs="TimesNewRomanPSMT"/>
        </w:rPr>
        <w:t>que recibe</w:t>
      </w:r>
      <w:r w:rsidRPr="00FE2957">
        <w:rPr>
          <w:rFonts w:cs="TimesNewRomanPSMT"/>
        </w:rPr>
        <w:t xml:space="preserve"> insuficientes recursos presupuestales por parte del gobierno nacional; el presupuesto público per cápita es menor </w:t>
      </w:r>
      <w:r w:rsidR="00FE2957" w:rsidRPr="00FE2957">
        <w:rPr>
          <w:rFonts w:cs="TimesNewRomanPSMT"/>
        </w:rPr>
        <w:t>que la</w:t>
      </w:r>
      <w:r w:rsidRPr="00FE2957">
        <w:rPr>
          <w:rFonts w:cs="TimesNewRomanPSMT"/>
        </w:rPr>
        <w:t xml:space="preserve"> mayor parte de regiones del país, lo cual es un contra sentido</w:t>
      </w:r>
      <w:r w:rsidR="00297D61" w:rsidRPr="00FE2957">
        <w:rPr>
          <w:rFonts w:cs="TimesNewRomanPSMT"/>
        </w:rPr>
        <w:t xml:space="preserve"> a pesar que es la </w:t>
      </w:r>
      <w:r w:rsidR="00FE2957" w:rsidRPr="00FE2957">
        <w:rPr>
          <w:rFonts w:cs="TimesNewRomanPSMT"/>
        </w:rPr>
        <w:t>región con</w:t>
      </w:r>
      <w:r w:rsidR="00297D61" w:rsidRPr="00FE2957">
        <w:rPr>
          <w:rFonts w:cs="TimesNewRomanPSMT"/>
        </w:rPr>
        <w:t xml:space="preserve"> mayores índices de </w:t>
      </w:r>
      <w:r w:rsidR="00FE2957" w:rsidRPr="00FE2957">
        <w:rPr>
          <w:rFonts w:cs="TimesNewRomanPSMT"/>
        </w:rPr>
        <w:t>pobreza y</w:t>
      </w:r>
      <w:r w:rsidR="00297D61" w:rsidRPr="00FE2957">
        <w:rPr>
          <w:rFonts w:cs="TimesNewRomanPSMT"/>
        </w:rPr>
        <w:t xml:space="preserve"> brechas sociales del Perú.</w:t>
      </w:r>
    </w:p>
    <w:p w14:paraId="04F3AFC3" w14:textId="77777777" w:rsidR="00FE2957" w:rsidRDefault="0096728B" w:rsidP="0096728B">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t>Hay una</w:t>
      </w:r>
      <w:r w:rsidR="00B0221C" w:rsidRPr="00FE2957">
        <w:rPr>
          <w:rFonts w:cs="TimesNewRomanPSMT"/>
        </w:rPr>
        <w:t xml:space="preserve"> profunda </w:t>
      </w:r>
      <w:r w:rsidR="00FE2957" w:rsidRPr="00FE2957">
        <w:rPr>
          <w:rFonts w:cs="TimesNewRomanPSMT"/>
        </w:rPr>
        <w:t>desigualdad en</w:t>
      </w:r>
      <w:r w:rsidRPr="00FE2957">
        <w:rPr>
          <w:rFonts w:cs="TimesNewRomanPSMT"/>
        </w:rPr>
        <w:t xml:space="preserve"> las transferencias presupuestarias por parte del gobierno nacional a las regiones, identificándose una relación</w:t>
      </w:r>
      <w:r w:rsidR="00B0221C" w:rsidRPr="00FE2957">
        <w:rPr>
          <w:rFonts w:cs="TimesNewRomanPSMT"/>
        </w:rPr>
        <w:t xml:space="preserve"> entre </w:t>
      </w:r>
      <w:r w:rsidR="00AE2FF9" w:rsidRPr="00FE2957">
        <w:rPr>
          <w:rFonts w:cs="TimesNewRomanPSMT"/>
        </w:rPr>
        <w:t xml:space="preserve"> pobreza y</w:t>
      </w:r>
      <w:r w:rsidR="00B0221C" w:rsidRPr="00FE2957">
        <w:rPr>
          <w:rFonts w:cs="TimesNewRomanPSMT"/>
        </w:rPr>
        <w:t xml:space="preserve"> los recursos públicos con que </w:t>
      </w:r>
      <w:r w:rsidR="00AE2FF9" w:rsidRPr="00FE2957">
        <w:rPr>
          <w:rFonts w:cs="TimesNewRomanPSMT"/>
        </w:rPr>
        <w:t>cuentan.</w:t>
      </w:r>
    </w:p>
    <w:p w14:paraId="13AA702F" w14:textId="77777777" w:rsidR="00FE2957" w:rsidRDefault="0096728B" w:rsidP="00AE2FF9">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t>S</w:t>
      </w:r>
      <w:r w:rsidR="00B0221C" w:rsidRPr="00FE2957">
        <w:rPr>
          <w:rFonts w:cs="TimesNewRomanPSMT"/>
        </w:rPr>
        <w:t xml:space="preserve">e </w:t>
      </w:r>
      <w:r w:rsidRPr="00FE2957">
        <w:rPr>
          <w:rFonts w:cs="TimesNewRomanPSMT"/>
        </w:rPr>
        <w:t>confirma</w:t>
      </w:r>
      <w:r w:rsidR="00B0221C" w:rsidRPr="00FE2957">
        <w:rPr>
          <w:rFonts w:cs="TimesNewRomanPSMT"/>
        </w:rPr>
        <w:t xml:space="preserve"> la importancia de disponer </w:t>
      </w:r>
      <w:r w:rsidR="00FE2957" w:rsidRPr="00FE2957">
        <w:rPr>
          <w:rFonts w:cs="TimesNewRomanPSMT"/>
        </w:rPr>
        <w:t>de mayores</w:t>
      </w:r>
      <w:r w:rsidRPr="00FE2957">
        <w:rPr>
          <w:rFonts w:cs="TimesNewRomanPSMT"/>
        </w:rPr>
        <w:t xml:space="preserve"> </w:t>
      </w:r>
      <w:r w:rsidR="00B0221C" w:rsidRPr="00FE2957">
        <w:rPr>
          <w:rFonts w:cs="TimesNewRomanPSMT"/>
        </w:rPr>
        <w:t>recursos públ</w:t>
      </w:r>
      <w:r w:rsidR="00065E91" w:rsidRPr="00FE2957">
        <w:rPr>
          <w:rFonts w:cs="TimesNewRomanPSMT"/>
        </w:rPr>
        <w:t xml:space="preserve">icos para impulsar la expansión </w:t>
      </w:r>
      <w:r w:rsidR="00B0221C" w:rsidRPr="00FE2957">
        <w:rPr>
          <w:rFonts w:cs="TimesNewRomanPSMT"/>
        </w:rPr>
        <w:t>productiva y el bienestar social, así como el hecho de que el auge económico por sí mismo no es suficiente para propiciar e</w:t>
      </w:r>
      <w:r w:rsidRPr="00FE2957">
        <w:rPr>
          <w:rFonts w:cs="TimesNewRomanPSMT"/>
        </w:rPr>
        <w:t xml:space="preserve">l desarrollo social. La acción del gobierno nacional </w:t>
      </w:r>
      <w:r w:rsidR="00B0221C" w:rsidRPr="00FE2957">
        <w:rPr>
          <w:rFonts w:cs="TimesNewRomanPSMT"/>
        </w:rPr>
        <w:t>es indispensable para impulsar el proceso de crecimiento</w:t>
      </w:r>
      <w:r w:rsidRPr="00FE2957">
        <w:rPr>
          <w:rFonts w:cs="TimesNewRomanPSMT"/>
        </w:rPr>
        <w:t xml:space="preserve"> y disminución de la pobreza</w:t>
      </w:r>
      <w:r w:rsidR="00B0221C" w:rsidRPr="00FE2957">
        <w:rPr>
          <w:rFonts w:cs="TimesNewRomanPSMT"/>
        </w:rPr>
        <w:t xml:space="preserve"> mediante el incremen</w:t>
      </w:r>
      <w:r w:rsidR="00E73542" w:rsidRPr="00FE2957">
        <w:rPr>
          <w:rFonts w:cs="TimesNewRomanPSMT"/>
        </w:rPr>
        <w:t>to de los recursos públicos, así como</w:t>
      </w:r>
      <w:r w:rsidR="00AE2FF9" w:rsidRPr="00FE2957">
        <w:rPr>
          <w:rFonts w:cs="TimesNewRomanPSMT"/>
        </w:rPr>
        <w:t xml:space="preserve"> la complementación y articulación los programas sociales en el territorio regional.</w:t>
      </w:r>
    </w:p>
    <w:p w14:paraId="0C9E723A" w14:textId="77777777" w:rsidR="00FE2957" w:rsidRDefault="00065E91" w:rsidP="00AE2FF9">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lastRenderedPageBreak/>
        <w:t xml:space="preserve">Los criterios de </w:t>
      </w:r>
      <w:r w:rsidR="00FE2957" w:rsidRPr="00FE2957">
        <w:rPr>
          <w:rFonts w:cs="TimesNewRomanPSMT"/>
        </w:rPr>
        <w:t>reparto para</w:t>
      </w:r>
      <w:r w:rsidRPr="00FE2957">
        <w:rPr>
          <w:rFonts w:cs="TimesNewRomanPSMT"/>
        </w:rPr>
        <w:t xml:space="preserve"> las transferencias presupuestarias </w:t>
      </w:r>
      <w:r w:rsidR="00B86EA8" w:rsidRPr="00FE2957">
        <w:rPr>
          <w:rFonts w:cs="TimesNewRomanPSMT"/>
        </w:rPr>
        <w:t xml:space="preserve">  no privilegia</w:t>
      </w:r>
      <w:r w:rsidR="00AD72C1" w:rsidRPr="00FE2957">
        <w:rPr>
          <w:rFonts w:cs="TimesNewRomanPSMT"/>
        </w:rPr>
        <w:t>n</w:t>
      </w:r>
      <w:r w:rsidR="00B86EA8" w:rsidRPr="00FE2957">
        <w:rPr>
          <w:rFonts w:cs="TimesNewRomanPSMT"/>
        </w:rPr>
        <w:t xml:space="preserve"> criterios de pobreza y de cierre de brechas</w:t>
      </w:r>
      <w:r w:rsidR="009940F4" w:rsidRPr="00FE2957">
        <w:rPr>
          <w:rFonts w:cs="TimesNewRomanPSMT"/>
        </w:rPr>
        <w:t xml:space="preserve">, existiendo una profunda inequidad en el reparto </w:t>
      </w:r>
      <w:r w:rsidR="00FE2957" w:rsidRPr="00FE2957">
        <w:rPr>
          <w:rFonts w:cs="TimesNewRomanPSMT"/>
        </w:rPr>
        <w:t>de los</w:t>
      </w:r>
      <w:r w:rsidR="009940F4" w:rsidRPr="00FE2957">
        <w:rPr>
          <w:rFonts w:cs="TimesNewRomanPSMT"/>
        </w:rPr>
        <w:t xml:space="preserve"> recurso</w:t>
      </w:r>
      <w:r w:rsidRPr="00FE2957">
        <w:rPr>
          <w:rFonts w:cs="TimesNewRomanPSMT"/>
        </w:rPr>
        <w:t>s</w:t>
      </w:r>
      <w:r w:rsidR="009940F4" w:rsidRPr="00FE2957">
        <w:rPr>
          <w:rFonts w:cs="TimesNewRomanPSMT"/>
        </w:rPr>
        <w:t xml:space="preserve"> públicos que está</w:t>
      </w:r>
      <w:r w:rsidRPr="00FE2957">
        <w:rPr>
          <w:rFonts w:cs="TimesNewRomanPSMT"/>
        </w:rPr>
        <w:t>n</w:t>
      </w:r>
      <w:r w:rsidR="009940F4" w:rsidRPr="00FE2957">
        <w:rPr>
          <w:rFonts w:cs="TimesNewRomanPSMT"/>
        </w:rPr>
        <w:t xml:space="preserve"> contribuyendo a </w:t>
      </w:r>
      <w:r w:rsidR="00FE2957" w:rsidRPr="00FE2957">
        <w:rPr>
          <w:rFonts w:cs="TimesNewRomanPSMT"/>
        </w:rPr>
        <w:t>incrementar las</w:t>
      </w:r>
      <w:r w:rsidR="009940F4" w:rsidRPr="00FE2957">
        <w:rPr>
          <w:rFonts w:cs="TimesNewRomanPSMT"/>
        </w:rPr>
        <w:t xml:space="preserve"> </w:t>
      </w:r>
      <w:r w:rsidR="00AE2FF9" w:rsidRPr="00FE2957">
        <w:rPr>
          <w:rFonts w:cs="TimesNewRomanPSMT"/>
        </w:rPr>
        <w:t>disparidades entre las regiones.</w:t>
      </w:r>
    </w:p>
    <w:p w14:paraId="3590C28F" w14:textId="77777777" w:rsidR="00FE2957" w:rsidRPr="00FE2957" w:rsidRDefault="00AE2FF9" w:rsidP="00AE2FF9">
      <w:pPr>
        <w:pStyle w:val="Prrafodelista"/>
        <w:numPr>
          <w:ilvl w:val="0"/>
          <w:numId w:val="2"/>
        </w:numPr>
        <w:autoSpaceDE w:val="0"/>
        <w:autoSpaceDN w:val="0"/>
        <w:adjustRightInd w:val="0"/>
        <w:spacing w:after="0" w:line="360" w:lineRule="auto"/>
        <w:ind w:left="567" w:hanging="567"/>
        <w:jc w:val="both"/>
        <w:rPr>
          <w:rStyle w:val="a"/>
          <w:rFonts w:cs="TimesNewRomanPSMT"/>
        </w:rPr>
      </w:pPr>
      <w:r w:rsidRPr="00FE2957">
        <w:rPr>
          <w:rStyle w:val="a"/>
          <w:color w:val="231F20"/>
          <w:bdr w:val="none" w:sz="0" w:space="0" w:color="auto" w:frame="1"/>
          <w:shd w:val="clear" w:color="auto" w:fill="FFFFFF"/>
        </w:rPr>
        <w:t>En la</w:t>
      </w:r>
      <w:r w:rsidRPr="00FE2957">
        <w:rPr>
          <w:rStyle w:val="apple-converted-space"/>
          <w:color w:val="231F20"/>
          <w:bdr w:val="none" w:sz="0" w:space="0" w:color="auto" w:frame="1"/>
          <w:shd w:val="clear" w:color="auto" w:fill="FFFFFF"/>
        </w:rPr>
        <w:t> </w:t>
      </w:r>
      <w:r w:rsidRPr="00FE2957">
        <w:rPr>
          <w:rStyle w:val="a"/>
          <w:color w:val="231F20"/>
          <w:bdr w:val="none" w:sz="0" w:space="0" w:color="auto" w:frame="1"/>
          <w:shd w:val="clear" w:color="auto" w:fill="FFFFFF"/>
        </w:rPr>
        <w:t xml:space="preserve">medida que la política fiscal nacional se oriente a cerrar las brechas de infraestructura, se mejorará el bienestar de la sociedad, ya que los promedios esconden </w:t>
      </w:r>
      <w:r w:rsidR="00FE2957" w:rsidRPr="00FE2957">
        <w:rPr>
          <w:rStyle w:val="a"/>
          <w:color w:val="231F20"/>
          <w:bdr w:val="none" w:sz="0" w:space="0" w:color="auto" w:frame="1"/>
          <w:shd w:val="clear" w:color="auto" w:fill="FFFFFF"/>
        </w:rPr>
        <w:t>la diversidad de</w:t>
      </w:r>
      <w:r w:rsidRPr="00FE2957">
        <w:rPr>
          <w:rStyle w:val="a"/>
          <w:color w:val="231F20"/>
          <w:bdr w:val="none" w:sz="0" w:space="0" w:color="auto" w:frame="1"/>
          <w:shd w:val="clear" w:color="auto" w:fill="FFFFFF"/>
        </w:rPr>
        <w:t xml:space="preserve"> la realidad regional.</w:t>
      </w:r>
    </w:p>
    <w:p w14:paraId="0D84B73A" w14:textId="77777777" w:rsidR="00FE2957" w:rsidRDefault="00E73542" w:rsidP="00AE2FF9">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t>El g</w:t>
      </w:r>
      <w:r w:rsidR="0096728B" w:rsidRPr="00FE2957">
        <w:rPr>
          <w:rFonts w:cs="TimesNewRomanPSMT"/>
        </w:rPr>
        <w:t>obierno regional de Cajamarca no ha hecho uso de algunos instrumentos que establece la normativa para financiar el desarrollo regional como</w:t>
      </w:r>
      <w:r w:rsidR="00CC4C88" w:rsidRPr="00FE2957">
        <w:rPr>
          <w:rFonts w:cs="TimesNewRomanPSMT"/>
        </w:rPr>
        <w:t>: Obras por Impuestos</w:t>
      </w:r>
      <w:r w:rsidR="00FE2957" w:rsidRPr="00FE2957">
        <w:rPr>
          <w:rFonts w:cs="TimesNewRomanPSMT"/>
        </w:rPr>
        <w:t>, Asociaciones</w:t>
      </w:r>
      <w:r w:rsidR="00CC4C88" w:rsidRPr="00FE2957">
        <w:rPr>
          <w:rFonts w:cs="TimesNewRomanPSMT"/>
        </w:rPr>
        <w:t xml:space="preserve"> Público Privadas, Proyectos en Activos, Fideicomisos y E</w:t>
      </w:r>
      <w:r w:rsidR="0096728B" w:rsidRPr="00FE2957">
        <w:rPr>
          <w:rFonts w:cs="TimesNewRomanPSMT"/>
        </w:rPr>
        <w:t>ndeudamiento</w:t>
      </w:r>
      <w:r w:rsidR="00CC4C88" w:rsidRPr="00FE2957">
        <w:rPr>
          <w:rFonts w:cs="TimesNewRomanPSMT"/>
        </w:rPr>
        <w:t>,</w:t>
      </w:r>
      <w:r w:rsidR="0096728B" w:rsidRPr="00FE2957">
        <w:rPr>
          <w:rFonts w:cs="TimesNewRomanPSMT"/>
        </w:rPr>
        <w:t xml:space="preserve"> para acelerar el cierre de brechas.</w:t>
      </w:r>
    </w:p>
    <w:p w14:paraId="3775E64A" w14:textId="77777777" w:rsidR="00FE2957" w:rsidRPr="00FE2957" w:rsidRDefault="00AE2FF9" w:rsidP="000F6839">
      <w:pPr>
        <w:pStyle w:val="Prrafodelista"/>
        <w:numPr>
          <w:ilvl w:val="0"/>
          <w:numId w:val="2"/>
        </w:numPr>
        <w:autoSpaceDE w:val="0"/>
        <w:autoSpaceDN w:val="0"/>
        <w:adjustRightInd w:val="0"/>
        <w:spacing w:after="0" w:line="360" w:lineRule="auto"/>
        <w:ind w:left="567" w:hanging="567"/>
        <w:jc w:val="both"/>
        <w:rPr>
          <w:rFonts w:cs="TimesNewRomanPSMT"/>
        </w:rPr>
      </w:pPr>
      <w:r>
        <w:t>La ausen</w:t>
      </w:r>
      <w:r w:rsidR="004131B3">
        <w:t>cia de descentralización fiscal,</w:t>
      </w:r>
      <w:r>
        <w:t xml:space="preserve"> está originando </w:t>
      </w:r>
      <w:r w:rsidR="00FE2957">
        <w:t>que los presupuestos</w:t>
      </w:r>
      <w:r>
        <w:t xml:space="preserve"> de los gobiernos </w:t>
      </w:r>
      <w:r w:rsidR="00FE2957">
        <w:t>regionales sean</w:t>
      </w:r>
      <w:r>
        <w:t xml:space="preserve">   muy dependientes de las transferencias discrecionales del gobierno </w:t>
      </w:r>
      <w:r w:rsidR="00FE2957">
        <w:t>nacional y</w:t>
      </w:r>
      <w:r>
        <w:t xml:space="preserve"> tengan una </w:t>
      </w:r>
      <w:r w:rsidR="00FE2957">
        <w:t>alta volatilidad que</w:t>
      </w:r>
      <w:r w:rsidRPr="00AE2FF9">
        <w:t xml:space="preserve"> dificulta la planificación financiera de largo plazo.</w:t>
      </w:r>
      <w:r w:rsidRPr="00FE2957">
        <w:rPr>
          <w:color w:val="FF0000"/>
        </w:rPr>
        <w:t xml:space="preserve">  </w:t>
      </w:r>
    </w:p>
    <w:p w14:paraId="411083E4" w14:textId="77777777" w:rsidR="009963A4" w:rsidRPr="00FE2957" w:rsidRDefault="00FE2957" w:rsidP="000F6839">
      <w:pPr>
        <w:pStyle w:val="Prrafodelista"/>
        <w:numPr>
          <w:ilvl w:val="0"/>
          <w:numId w:val="2"/>
        </w:numPr>
        <w:autoSpaceDE w:val="0"/>
        <w:autoSpaceDN w:val="0"/>
        <w:adjustRightInd w:val="0"/>
        <w:spacing w:after="0" w:line="360" w:lineRule="auto"/>
        <w:ind w:left="567" w:hanging="567"/>
        <w:jc w:val="both"/>
        <w:rPr>
          <w:rFonts w:cs="TimesNewRomanPSMT"/>
        </w:rPr>
      </w:pPr>
      <w:r w:rsidRPr="00FE2957">
        <w:rPr>
          <w:rFonts w:cs="TimesNewRomanPSMT"/>
        </w:rPr>
        <w:t>Aunque la</w:t>
      </w:r>
      <w:r w:rsidR="00E73542" w:rsidRPr="00FE2957">
        <w:rPr>
          <w:rFonts w:cs="TimesNewRomanPSMT"/>
        </w:rPr>
        <w:t xml:space="preserve"> r</w:t>
      </w:r>
      <w:r w:rsidR="00065E91" w:rsidRPr="00FE2957">
        <w:rPr>
          <w:rFonts w:cs="TimesNewRomanPSMT"/>
        </w:rPr>
        <w:t>egión Cajamarca, necesita   de</w:t>
      </w:r>
      <w:r w:rsidR="009E6FBC" w:rsidRPr="00FE2957">
        <w:rPr>
          <w:rFonts w:cs="TimesNewRomanPSMT"/>
        </w:rPr>
        <w:t xml:space="preserve"> mayores</w:t>
      </w:r>
      <w:r w:rsidR="00AE2FF9" w:rsidRPr="00FE2957">
        <w:rPr>
          <w:rFonts w:cs="TimesNewRomanPSMT"/>
        </w:rPr>
        <w:t xml:space="preserve"> </w:t>
      </w:r>
      <w:r w:rsidRPr="00FE2957">
        <w:rPr>
          <w:rFonts w:cs="TimesNewRomanPSMT"/>
        </w:rPr>
        <w:t>recursos presupuestales, disponer</w:t>
      </w:r>
      <w:r w:rsidR="00065E91" w:rsidRPr="00FE2957">
        <w:rPr>
          <w:rFonts w:cs="TimesNewRomanPSMT"/>
        </w:rPr>
        <w:t xml:space="preserve"> de </w:t>
      </w:r>
      <w:r w:rsidRPr="00FE2957">
        <w:rPr>
          <w:rFonts w:cs="TimesNewRomanPSMT"/>
        </w:rPr>
        <w:t>mayores recursos</w:t>
      </w:r>
      <w:r w:rsidR="00925E83" w:rsidRPr="00FE2957">
        <w:rPr>
          <w:rFonts w:cs="TimesNewRomanPSMT"/>
        </w:rPr>
        <w:t>,</w:t>
      </w:r>
      <w:r w:rsidR="00065E91" w:rsidRPr="00FE2957">
        <w:rPr>
          <w:rFonts w:cs="TimesNewRomanPSMT"/>
        </w:rPr>
        <w:t xml:space="preserve"> no </w:t>
      </w:r>
      <w:r w:rsidRPr="00FE2957">
        <w:rPr>
          <w:rFonts w:cs="TimesNewRomanPSMT"/>
        </w:rPr>
        <w:t>asegura que</w:t>
      </w:r>
      <w:r w:rsidR="009E6FBC" w:rsidRPr="00FE2957">
        <w:rPr>
          <w:rFonts w:cs="TimesNewRomanPSMT"/>
        </w:rPr>
        <w:t xml:space="preserve"> se </w:t>
      </w:r>
      <w:r w:rsidRPr="00FE2957">
        <w:rPr>
          <w:rFonts w:cs="TimesNewRomanPSMT"/>
        </w:rPr>
        <w:t>tenga automáticamente</w:t>
      </w:r>
      <w:r w:rsidR="009E6FBC" w:rsidRPr="00FE2957">
        <w:rPr>
          <w:rFonts w:cs="TimesNewRomanPSMT"/>
        </w:rPr>
        <w:t xml:space="preserve"> mayores impactos en la pobreza y disminución de las brechas sociales,   </w:t>
      </w:r>
      <w:r w:rsidRPr="00FE2957">
        <w:rPr>
          <w:rFonts w:cs="TimesNewRomanPSMT"/>
        </w:rPr>
        <w:t>como al</w:t>
      </w:r>
      <w:r w:rsidR="009E6FBC" w:rsidRPr="00FE2957">
        <w:rPr>
          <w:rFonts w:cs="TimesNewRomanPSMT"/>
        </w:rPr>
        <w:t xml:space="preserve"> </w:t>
      </w:r>
      <w:r w:rsidRPr="00FE2957">
        <w:rPr>
          <w:rFonts w:cs="TimesNewRomanPSMT"/>
        </w:rPr>
        <w:t>respecto lo</w:t>
      </w:r>
      <w:r w:rsidR="00065E91" w:rsidRPr="00FE2957">
        <w:rPr>
          <w:rFonts w:cs="TimesNewRomanPSMT"/>
        </w:rPr>
        <w:t xml:space="preserve"> precisan Barcelata y Cuevas</w:t>
      </w:r>
      <w:r w:rsidR="009E6FBC" w:rsidRPr="00FE2957">
        <w:rPr>
          <w:rFonts w:cs="TimesNewRomanPSMT"/>
        </w:rPr>
        <w:t xml:space="preserve"> </w:t>
      </w:r>
      <w:r w:rsidR="00065E91" w:rsidRPr="00FE2957">
        <w:rPr>
          <w:rFonts w:cs="TimesNewRomanPSMT"/>
        </w:rPr>
        <w:t>(</w:t>
      </w:r>
      <w:r w:rsidR="009E6FBC" w:rsidRPr="00FE2957">
        <w:rPr>
          <w:rFonts w:cs="TimesNewRomanPSMT"/>
        </w:rPr>
        <w:t>2013)</w:t>
      </w:r>
      <w:r w:rsidR="00065E91" w:rsidRPr="00FE2957">
        <w:rPr>
          <w:rFonts w:cs="TimesNewRomanPSMT"/>
        </w:rPr>
        <w:t xml:space="preserve"> que los</w:t>
      </w:r>
      <w:r w:rsidR="00B86EA8" w:rsidRPr="00FE2957">
        <w:rPr>
          <w:rFonts w:cs="TimesNewRomanPSMT"/>
        </w:rPr>
        <w:t xml:space="preserve"> efecto</w:t>
      </w:r>
      <w:r w:rsidR="009E6FBC" w:rsidRPr="00FE2957">
        <w:rPr>
          <w:rFonts w:cs="TimesNewRomanPSMT"/>
        </w:rPr>
        <w:t>s</w:t>
      </w:r>
      <w:r w:rsidR="00B86EA8" w:rsidRPr="00FE2957">
        <w:rPr>
          <w:rFonts w:cs="TimesNewRomanPSMT"/>
        </w:rPr>
        <w:t xml:space="preserve"> depende</w:t>
      </w:r>
      <w:r w:rsidR="009E6FBC" w:rsidRPr="00FE2957">
        <w:rPr>
          <w:rFonts w:cs="TimesNewRomanPSMT"/>
        </w:rPr>
        <w:t>n</w:t>
      </w:r>
      <w:r w:rsidR="00925E83" w:rsidRPr="00FE2957">
        <w:rPr>
          <w:rFonts w:cs="TimesNewRomanPSMT"/>
        </w:rPr>
        <w:t xml:space="preserve"> no so</w:t>
      </w:r>
      <w:r w:rsidR="00B86EA8" w:rsidRPr="00FE2957">
        <w:rPr>
          <w:rFonts w:cs="TimesNewRomanPSMT"/>
        </w:rPr>
        <w:t>lo del monto del gasto, sino tam</w:t>
      </w:r>
      <w:r w:rsidR="009E6FBC" w:rsidRPr="00FE2957">
        <w:rPr>
          <w:rFonts w:cs="TimesNewRomanPSMT"/>
        </w:rPr>
        <w:t>bién</w:t>
      </w:r>
      <w:r w:rsidR="004131B3" w:rsidRPr="00FE2957">
        <w:rPr>
          <w:rFonts w:cs="TimesNewRomanPSMT"/>
        </w:rPr>
        <w:t>,</w:t>
      </w:r>
      <w:r w:rsidR="00B86EA8" w:rsidRPr="00FE2957">
        <w:rPr>
          <w:rFonts w:cs="TimesNewRomanPSMT"/>
        </w:rPr>
        <w:t xml:space="preserve"> y de manera determinante, del modo en que se administran los recursos y se deciden las asignaciones de </w:t>
      </w:r>
      <w:r w:rsidR="009E6FBC" w:rsidRPr="00FE2957">
        <w:rPr>
          <w:rFonts w:cs="TimesNewRomanPSMT"/>
        </w:rPr>
        <w:t>gasto regional.</w:t>
      </w:r>
      <w:r w:rsidR="00AE2FF9" w:rsidRPr="00FE2957">
        <w:rPr>
          <w:rFonts w:cs="TimesNewRomanPSMT"/>
        </w:rPr>
        <w:t xml:space="preserve"> </w:t>
      </w:r>
    </w:p>
    <w:p w14:paraId="31A0A7F5" w14:textId="77777777" w:rsidR="00822A29" w:rsidRPr="00C401A0" w:rsidRDefault="00822A29" w:rsidP="00AE2FF9">
      <w:pPr>
        <w:autoSpaceDE w:val="0"/>
        <w:autoSpaceDN w:val="0"/>
        <w:adjustRightInd w:val="0"/>
        <w:spacing w:after="0" w:line="360" w:lineRule="auto"/>
        <w:jc w:val="center"/>
        <w:rPr>
          <w:b/>
          <w:lang w:val="en-US"/>
        </w:rPr>
      </w:pPr>
      <w:r w:rsidRPr="00C401A0">
        <w:rPr>
          <w:i/>
          <w:lang w:val="en-US"/>
        </w:rPr>
        <w:br w:type="page"/>
      </w:r>
      <w:r w:rsidRPr="00C401A0">
        <w:rPr>
          <w:b/>
          <w:lang w:val="en-US"/>
        </w:rPr>
        <w:lastRenderedPageBreak/>
        <w:t>BIBLIOGRAFÍA</w:t>
      </w:r>
    </w:p>
    <w:p w14:paraId="7B582B95" w14:textId="77777777" w:rsidR="00E66CDD" w:rsidRPr="00C10574" w:rsidRDefault="00E66CDD" w:rsidP="00E66CDD">
      <w:pPr>
        <w:autoSpaceDE w:val="0"/>
        <w:autoSpaceDN w:val="0"/>
        <w:adjustRightInd w:val="0"/>
        <w:spacing w:before="240" w:after="0" w:line="240" w:lineRule="auto"/>
        <w:ind w:left="567" w:hanging="567"/>
        <w:rPr>
          <w:rFonts w:cs="TimesNewRomanPSMT"/>
          <w:i/>
        </w:rPr>
      </w:pPr>
      <w:r w:rsidRPr="00FC11B2">
        <w:rPr>
          <w:rFonts w:cs="TimesNewRomanPSMT"/>
          <w:lang w:val="en-US"/>
        </w:rPr>
        <w:t xml:space="preserve">AFONSO, Antonio; EBERT, Werner; SCHUKNECHT, Ludge, y THÖNE, Michael (2005): </w:t>
      </w:r>
      <w:r w:rsidR="00967844">
        <w:rPr>
          <w:rFonts w:cs="TimesNewRomanPSMT"/>
          <w:i/>
          <w:lang w:val="en-US"/>
        </w:rPr>
        <w:t xml:space="preserve"> </w:t>
      </w:r>
      <w:r w:rsidRPr="00FC11B2">
        <w:rPr>
          <w:rFonts w:cs="TimesNewRomanPSMT"/>
          <w:i/>
          <w:lang w:val="en-US"/>
        </w:rPr>
        <w:t>Qualit</w:t>
      </w:r>
      <w:r w:rsidR="00967844">
        <w:rPr>
          <w:rFonts w:cs="TimesNewRomanPSMT"/>
          <w:i/>
          <w:lang w:val="en-US"/>
        </w:rPr>
        <w:t>y of public finances and growth</w:t>
      </w:r>
      <w:r w:rsidRPr="00FC11B2">
        <w:rPr>
          <w:rFonts w:cs="TimesNewRomanPSMT"/>
          <w:lang w:val="en-US"/>
        </w:rPr>
        <w:t xml:space="preserve">.  </w:t>
      </w:r>
      <w:r w:rsidRPr="00C10574">
        <w:rPr>
          <w:rFonts w:cs="TimesNewRomanPSMT"/>
        </w:rPr>
        <w:t>Working Pap</w:t>
      </w:r>
      <w:r>
        <w:rPr>
          <w:rFonts w:cs="TimesNewRomanPSMT"/>
        </w:rPr>
        <w:t xml:space="preserve">er Series 438, European Central </w:t>
      </w:r>
      <w:r w:rsidRPr="00C10574">
        <w:rPr>
          <w:rFonts w:cs="TimesNewRomanPSMT"/>
        </w:rPr>
        <w:t>Bank.</w:t>
      </w:r>
    </w:p>
    <w:p w14:paraId="008CDB35" w14:textId="77777777" w:rsidR="00E66CDD" w:rsidRPr="00E66CDD" w:rsidRDefault="00E66CDD" w:rsidP="00E66CDD">
      <w:pPr>
        <w:spacing w:before="240" w:line="240" w:lineRule="auto"/>
        <w:ind w:left="567" w:hanging="567"/>
        <w:jc w:val="both"/>
      </w:pPr>
      <w:r w:rsidRPr="008B5F29">
        <w:t xml:space="preserve">ARNILLAS, Federico (2016): </w:t>
      </w:r>
      <w:r w:rsidRPr="008B5F29">
        <w:rPr>
          <w:i/>
        </w:rPr>
        <w:t>Entrevista el 2</w:t>
      </w:r>
      <w:r w:rsidR="00967844">
        <w:rPr>
          <w:i/>
        </w:rPr>
        <w:t>5 de abril en el Diario Gestión</w:t>
      </w:r>
      <w:r w:rsidRPr="008B5F29">
        <w:t xml:space="preserve">. Lima. Disponible en: </w:t>
      </w:r>
      <w:hyperlink r:id="rId8" w:history="1">
        <w:r w:rsidRPr="00967844">
          <w:rPr>
            <w:rStyle w:val="Hipervnculo"/>
            <w:color w:val="000000" w:themeColor="text1"/>
            <w:u w:val="none"/>
          </w:rPr>
          <w:t>http://gestion.pe/economia/que-cajamarca-sigue-siendo-region-mas-pobre-pais-2159276</w:t>
        </w:r>
      </w:hyperlink>
      <w:r w:rsidRPr="00967844">
        <w:rPr>
          <w:color w:val="000000" w:themeColor="text1"/>
        </w:rPr>
        <w:t>.</w:t>
      </w:r>
    </w:p>
    <w:p w14:paraId="36C23F45" w14:textId="77777777" w:rsidR="00F60F08" w:rsidRPr="00F60F08" w:rsidRDefault="00F60F08" w:rsidP="00FC11B2">
      <w:pPr>
        <w:autoSpaceDE w:val="0"/>
        <w:autoSpaceDN w:val="0"/>
        <w:adjustRightInd w:val="0"/>
        <w:spacing w:before="240" w:after="0" w:line="240" w:lineRule="auto"/>
        <w:ind w:left="567" w:hanging="567"/>
        <w:jc w:val="both"/>
        <w:rPr>
          <w:rFonts w:cs="Helvetica-Bold"/>
          <w:bCs/>
        </w:rPr>
      </w:pPr>
      <w:r>
        <w:rPr>
          <w:rFonts w:cs="TimesNewRomanPSMT"/>
        </w:rPr>
        <w:t>ASAMBLEA NACIONAL DE GOBIERNOS REGIONALES (2009)</w:t>
      </w:r>
      <w:r w:rsidRPr="00F60F08">
        <w:rPr>
          <w:rFonts w:cs="TimesNewRomanPSMT"/>
        </w:rPr>
        <w:t xml:space="preserve">: </w:t>
      </w:r>
      <w:r w:rsidR="007255C5">
        <w:rPr>
          <w:rFonts w:cs="Helvetica-Bold"/>
          <w:bCs/>
          <w:i/>
        </w:rPr>
        <w:t>La descentralización f</w:t>
      </w:r>
      <w:r w:rsidRPr="00F60F08">
        <w:rPr>
          <w:rFonts w:cs="Helvetica-Bold"/>
          <w:bCs/>
          <w:i/>
        </w:rPr>
        <w:t>iscal en el Perú: Situación Actual y Propuest</w:t>
      </w:r>
      <w:r w:rsidR="00967844">
        <w:rPr>
          <w:rFonts w:cs="Helvetica-Bold"/>
          <w:bCs/>
          <w:i/>
        </w:rPr>
        <w:t>a de Coparticipación Tributaria</w:t>
      </w:r>
      <w:r>
        <w:rPr>
          <w:rFonts w:cs="Helvetica-Bold"/>
          <w:bCs/>
          <w:i/>
        </w:rPr>
        <w:t>.</w:t>
      </w:r>
      <w:r>
        <w:rPr>
          <w:rFonts w:cs="Helvetica-Bold"/>
          <w:bCs/>
        </w:rPr>
        <w:t>Sincoeditores. Lima</w:t>
      </w:r>
      <w:r w:rsidR="00AE2FF9">
        <w:rPr>
          <w:rFonts w:cs="Helvetica-Bold"/>
          <w:bCs/>
        </w:rPr>
        <w:t>.</w:t>
      </w:r>
    </w:p>
    <w:p w14:paraId="55020AB1" w14:textId="77777777" w:rsidR="00D56DC5" w:rsidRPr="008E599E" w:rsidRDefault="008E599E" w:rsidP="00FC11B2">
      <w:pPr>
        <w:autoSpaceDE w:val="0"/>
        <w:autoSpaceDN w:val="0"/>
        <w:adjustRightInd w:val="0"/>
        <w:spacing w:before="240" w:after="0" w:line="240" w:lineRule="auto"/>
        <w:ind w:left="567" w:hanging="567"/>
        <w:jc w:val="both"/>
        <w:rPr>
          <w:rFonts w:cs="Arial"/>
          <w:color w:val="333232"/>
        </w:rPr>
      </w:pPr>
      <w:r w:rsidRPr="00003908">
        <w:rPr>
          <w:rFonts w:cs="Arial"/>
          <w:color w:val="333232"/>
        </w:rPr>
        <w:t>BARCELATA CHÁVEZ, Hilario</w:t>
      </w:r>
      <w:r w:rsidR="007255C5">
        <w:rPr>
          <w:rFonts w:cs="Arial"/>
          <w:color w:val="333232"/>
        </w:rPr>
        <w:t xml:space="preserve"> (2015): </w:t>
      </w:r>
      <w:r w:rsidRPr="00003908">
        <w:rPr>
          <w:rFonts w:cs="Arial"/>
          <w:i/>
          <w:color w:val="333232"/>
        </w:rPr>
        <w:t>Círculos de pobreza y</w:t>
      </w:r>
      <w:r w:rsidR="00967844">
        <w:rPr>
          <w:rFonts w:cs="Arial"/>
          <w:i/>
          <w:color w:val="333232"/>
        </w:rPr>
        <w:t xml:space="preserve"> finanzas municipales en México.</w:t>
      </w:r>
      <w:r>
        <w:rPr>
          <w:rFonts w:cs="Arial"/>
          <w:color w:val="333232"/>
        </w:rPr>
        <w:t xml:space="preserve"> Revista </w:t>
      </w:r>
      <w:r w:rsidRPr="00003908">
        <w:rPr>
          <w:rFonts w:cs="Arial"/>
          <w:color w:val="333232"/>
        </w:rPr>
        <w:t>Economía: Teoría y práct</w:t>
      </w:r>
      <w:r>
        <w:rPr>
          <w:rFonts w:cs="Arial"/>
          <w:color w:val="333232"/>
        </w:rPr>
        <w:t xml:space="preserve">ica, núm. 42, enero-junio, </w:t>
      </w:r>
      <w:r w:rsidRPr="00003908">
        <w:rPr>
          <w:rFonts w:cs="Arial"/>
          <w:color w:val="333232"/>
        </w:rPr>
        <w:t>pp. 69-103</w:t>
      </w:r>
      <w:r>
        <w:rPr>
          <w:rFonts w:cs="Arial"/>
          <w:color w:val="333232"/>
        </w:rPr>
        <w:t xml:space="preserve">. </w:t>
      </w:r>
      <w:r w:rsidRPr="00003908">
        <w:rPr>
          <w:rFonts w:cs="Arial"/>
          <w:color w:val="333232"/>
        </w:rPr>
        <w:t>Universidad Autónoma Metropolitana Unidad Iztapalapa</w:t>
      </w:r>
      <w:r>
        <w:rPr>
          <w:rFonts w:cs="Arial"/>
          <w:color w:val="333232"/>
        </w:rPr>
        <w:t xml:space="preserve">. </w:t>
      </w:r>
      <w:r w:rsidRPr="00003908">
        <w:rPr>
          <w:rFonts w:cs="Arial"/>
          <w:color w:val="333232"/>
        </w:rPr>
        <w:t>Distrito Federal, México</w:t>
      </w:r>
      <w:r>
        <w:rPr>
          <w:rFonts w:cs="Arial"/>
          <w:color w:val="333232"/>
        </w:rPr>
        <w:t>.</w:t>
      </w:r>
    </w:p>
    <w:p w14:paraId="4A60F853" w14:textId="77777777" w:rsidR="008E599E" w:rsidRDefault="00952C8E" w:rsidP="00FC11B2">
      <w:pPr>
        <w:autoSpaceDE w:val="0"/>
        <w:autoSpaceDN w:val="0"/>
        <w:adjustRightInd w:val="0"/>
        <w:spacing w:before="240" w:after="0" w:line="240" w:lineRule="auto"/>
        <w:ind w:left="567" w:hanging="567"/>
        <w:jc w:val="both"/>
        <w:rPr>
          <w:rFonts w:cs="TimesNewRomanPSMT"/>
        </w:rPr>
      </w:pPr>
      <w:r w:rsidRPr="00952C8E">
        <w:rPr>
          <w:rFonts w:cs="TimesNewRomanPSMT"/>
        </w:rPr>
        <w:t>BARCELATA,</w:t>
      </w:r>
      <w:r w:rsidR="008E599E">
        <w:rPr>
          <w:rFonts w:cs="TimesNewRomanPSMT"/>
        </w:rPr>
        <w:t xml:space="preserve"> Hilario</w:t>
      </w:r>
      <w:r w:rsidRPr="00952C8E">
        <w:rPr>
          <w:rFonts w:cs="TimesNewRomanPSMT"/>
        </w:rPr>
        <w:t xml:space="preserve"> y CUEVAS</w:t>
      </w:r>
      <w:r>
        <w:rPr>
          <w:rFonts w:cs="TimesNewRomanPSMT"/>
        </w:rPr>
        <w:t xml:space="preserve">, Ana María (2013): </w:t>
      </w:r>
      <w:r w:rsidRPr="008E599E">
        <w:rPr>
          <w:rFonts w:cs="TimesNewRomanPSMT"/>
          <w:i/>
        </w:rPr>
        <w:t xml:space="preserve">La inequidad del reparto intramunicipal del </w:t>
      </w:r>
      <w:r w:rsidRPr="008E599E">
        <w:rPr>
          <w:rFonts w:cs="TimesNewRomanPSMT-SC800"/>
          <w:i/>
        </w:rPr>
        <w:t xml:space="preserve">fism </w:t>
      </w:r>
      <w:r w:rsidR="00967844">
        <w:rPr>
          <w:rFonts w:cs="TimesNewRomanPSMT"/>
          <w:i/>
        </w:rPr>
        <w:t>en Coatepec, Veracruz</w:t>
      </w:r>
      <w:r w:rsidR="008E599E">
        <w:rPr>
          <w:rFonts w:cs="TimesNewRomanPSMT"/>
        </w:rPr>
        <w:t>.  E</w:t>
      </w:r>
      <w:r w:rsidRPr="00952C8E">
        <w:rPr>
          <w:rFonts w:cs="TimesNewRomanPSMT"/>
        </w:rPr>
        <w:t>n A. Sánchez,</w:t>
      </w:r>
      <w:r w:rsidRPr="008E599E">
        <w:rPr>
          <w:rFonts w:cs="TimesNewRomanPSMT"/>
        </w:rPr>
        <w:t xml:space="preserve"> </w:t>
      </w:r>
      <w:r w:rsidRPr="008E599E">
        <w:rPr>
          <w:rFonts w:cs="TimesNewRomanPS-ItalicMT"/>
          <w:iCs/>
        </w:rPr>
        <w:t>Integración social territorial</w:t>
      </w:r>
      <w:r w:rsidRPr="008E599E">
        <w:rPr>
          <w:rFonts w:cs="TimesNewRomanPSMT"/>
        </w:rPr>
        <w:t xml:space="preserve"> </w:t>
      </w:r>
      <w:r w:rsidR="008E599E">
        <w:rPr>
          <w:rFonts w:cs="TimesNewRomanPS-ItalicMT"/>
          <w:iCs/>
        </w:rPr>
        <w:t xml:space="preserve">y desarrollo. Hacia políticas </w:t>
      </w:r>
      <w:r w:rsidRPr="008E599E">
        <w:rPr>
          <w:rFonts w:cs="TimesNewRomanPS-ItalicMT"/>
          <w:iCs/>
        </w:rPr>
        <w:t>públicas alternativas</w:t>
      </w:r>
      <w:r w:rsidR="008E599E">
        <w:rPr>
          <w:rFonts w:cs="TimesNewRomanPSMT"/>
        </w:rPr>
        <w:t>, México.</w:t>
      </w:r>
    </w:p>
    <w:p w14:paraId="052361B2" w14:textId="77777777" w:rsidR="00E66CDD" w:rsidRPr="00E66CDD" w:rsidRDefault="00E66CDD" w:rsidP="00E66CDD">
      <w:pPr>
        <w:autoSpaceDE w:val="0"/>
        <w:autoSpaceDN w:val="0"/>
        <w:adjustRightInd w:val="0"/>
        <w:spacing w:before="240" w:after="0" w:line="240" w:lineRule="auto"/>
        <w:ind w:left="567" w:hanging="567"/>
        <w:jc w:val="both"/>
        <w:rPr>
          <w:rFonts w:cs="Arial"/>
          <w:color w:val="333232"/>
        </w:rPr>
      </w:pPr>
      <w:r>
        <w:rPr>
          <w:rFonts w:cs="Arial"/>
          <w:color w:val="333232"/>
        </w:rPr>
        <w:t xml:space="preserve">BID (2016): </w:t>
      </w:r>
      <w:r w:rsidRPr="00380188">
        <w:rPr>
          <w:rFonts w:cs="Arial"/>
          <w:i/>
          <w:color w:val="333232"/>
        </w:rPr>
        <w:t>Descentralizando los Ingresos Fiscales en América Latina ¿Por Qué y Cómo</w:t>
      </w:r>
      <w:r>
        <w:rPr>
          <w:rFonts w:cs="Arial"/>
          <w:i/>
          <w:color w:val="333232"/>
        </w:rPr>
        <w:t>.</w:t>
      </w:r>
      <w:r>
        <w:rPr>
          <w:rFonts w:cs="Arial"/>
          <w:color w:val="333232"/>
        </w:rPr>
        <w:t xml:space="preserve"> Washington DC.</w:t>
      </w:r>
      <w:r>
        <w:rPr>
          <w:rFonts w:cs="Arial"/>
          <w:i/>
          <w:color w:val="333232"/>
        </w:rPr>
        <w:t xml:space="preserve"> </w:t>
      </w:r>
    </w:p>
    <w:p w14:paraId="39679F77" w14:textId="77777777" w:rsidR="0015065E" w:rsidRPr="0015065E" w:rsidRDefault="0015065E" w:rsidP="00FC11B2">
      <w:pPr>
        <w:autoSpaceDE w:val="0"/>
        <w:autoSpaceDN w:val="0"/>
        <w:adjustRightInd w:val="0"/>
        <w:spacing w:before="240" w:after="0" w:line="240" w:lineRule="auto"/>
        <w:ind w:left="567" w:hanging="567"/>
        <w:rPr>
          <w:rFonts w:cs="TimesNewRomanPSMT"/>
        </w:rPr>
      </w:pPr>
      <w:r w:rsidRPr="0015065E">
        <w:rPr>
          <w:rFonts w:cs="TimesNewRomanPSMT"/>
        </w:rPr>
        <w:t>CECONI</w:t>
      </w:r>
      <w:r>
        <w:rPr>
          <w:rFonts w:cs="TimesNewRomanPSMT"/>
        </w:rPr>
        <w:t>, Tulio Alberto (1998</w:t>
      </w:r>
      <w:r w:rsidR="00967844">
        <w:rPr>
          <w:rFonts w:cs="TimesNewRomanPSMT"/>
          <w:i/>
        </w:rPr>
        <w:t xml:space="preserve">): </w:t>
      </w:r>
      <w:r w:rsidRPr="0015065E">
        <w:rPr>
          <w:rFonts w:cs="TimesNewRomanPSMT"/>
          <w:i/>
        </w:rPr>
        <w:t>La fundamentación de una política de gasto público en base a la t</w:t>
      </w:r>
      <w:r w:rsidR="00967844">
        <w:rPr>
          <w:rFonts w:cs="TimesNewRomanPSMT"/>
          <w:i/>
        </w:rPr>
        <w:t>eoría del crecimiento económico</w:t>
      </w:r>
      <w:r>
        <w:rPr>
          <w:rFonts w:cs="TimesNewRomanPSMT"/>
        </w:rPr>
        <w:t xml:space="preserve">.  Ponencia a las Terceras Jornadas </w:t>
      </w:r>
      <w:r w:rsidR="00967844">
        <w:rPr>
          <w:rFonts w:cs="TimesNewRomanPSMT"/>
        </w:rPr>
        <w:t>Investigaciones en la Facultad</w:t>
      </w:r>
      <w:r w:rsidRPr="0015065E">
        <w:rPr>
          <w:rFonts w:cs="TimesNewRomanPSMT"/>
        </w:rPr>
        <w:t xml:space="preserve"> de Ciencias Económ</w:t>
      </w:r>
      <w:r>
        <w:rPr>
          <w:rFonts w:cs="TimesNewRomanPSMT"/>
        </w:rPr>
        <w:t>icas y Estadística, Universidad de Rosario.</w:t>
      </w:r>
    </w:p>
    <w:p w14:paraId="575D5BBD" w14:textId="77777777" w:rsidR="008E599E" w:rsidRPr="008E599E" w:rsidRDefault="00967844" w:rsidP="00FC11B2">
      <w:pPr>
        <w:spacing w:before="240" w:line="240" w:lineRule="auto"/>
        <w:ind w:left="567" w:hanging="567"/>
        <w:jc w:val="both"/>
      </w:pPr>
      <w:r>
        <w:rPr>
          <w:rStyle w:val="a"/>
          <w:color w:val="231F20"/>
          <w:bdr w:val="none" w:sz="0" w:space="0" w:color="auto" w:frame="1"/>
          <w:shd w:val="clear" w:color="auto" w:fill="FFFFFF"/>
        </w:rPr>
        <w:t xml:space="preserve">CEPAL (2015). </w:t>
      </w:r>
      <w:r w:rsidR="008E599E" w:rsidRPr="00967844">
        <w:rPr>
          <w:rStyle w:val="a"/>
          <w:i/>
          <w:color w:val="231F20"/>
          <w:bdr w:val="none" w:sz="0" w:space="0" w:color="auto" w:frame="1"/>
          <w:shd w:val="clear" w:color="auto" w:fill="FFFFFF"/>
        </w:rPr>
        <w:t xml:space="preserve">Panorama Fiscal de </w:t>
      </w:r>
      <w:r w:rsidRPr="00967844">
        <w:rPr>
          <w:rStyle w:val="a"/>
          <w:i/>
          <w:color w:val="231F20"/>
          <w:bdr w:val="none" w:sz="0" w:space="0" w:color="auto" w:frame="1"/>
          <w:shd w:val="clear" w:color="auto" w:fill="FFFFFF"/>
        </w:rPr>
        <w:t>América Latina y el Caribe 2015</w:t>
      </w:r>
      <w:r w:rsidR="008E599E" w:rsidRPr="00967844">
        <w:rPr>
          <w:rStyle w:val="a"/>
          <w:i/>
          <w:color w:val="231F20"/>
          <w:bdr w:val="none" w:sz="0" w:space="0" w:color="auto" w:frame="1"/>
          <w:shd w:val="clear" w:color="auto" w:fill="FFFFFF"/>
        </w:rPr>
        <w:t>, Dilemas y Espacios de Políticas</w:t>
      </w:r>
      <w:r w:rsidR="008E599E" w:rsidRPr="008B5F29">
        <w:rPr>
          <w:rStyle w:val="a"/>
          <w:color w:val="231F20"/>
          <w:bdr w:val="none" w:sz="0" w:space="0" w:color="auto" w:frame="1"/>
          <w:shd w:val="clear" w:color="auto" w:fill="FFFFFF"/>
        </w:rPr>
        <w:t>, Comisión Económica para América Latina y el Caribe –Cooperación Española, Naciones Unidas, Santiago de Chile.</w:t>
      </w:r>
    </w:p>
    <w:p w14:paraId="339554C0" w14:textId="77777777" w:rsidR="002E1ED5" w:rsidRPr="002E1ED5" w:rsidRDefault="00495FD7" w:rsidP="00F73204">
      <w:pPr>
        <w:autoSpaceDE w:val="0"/>
        <w:autoSpaceDN w:val="0"/>
        <w:adjustRightInd w:val="0"/>
        <w:spacing w:before="240" w:after="0" w:line="240" w:lineRule="auto"/>
        <w:ind w:left="567" w:hanging="567"/>
        <w:jc w:val="both"/>
        <w:rPr>
          <w:rFonts w:cs="FrutigerLT-Light"/>
          <w:color w:val="333333"/>
        </w:rPr>
      </w:pPr>
      <w:r>
        <w:rPr>
          <w:color w:val="231F20"/>
          <w:shd w:val="clear" w:color="auto" w:fill="FFFFFF"/>
        </w:rPr>
        <w:t>CO</w:t>
      </w:r>
      <w:r w:rsidR="00CC218A">
        <w:rPr>
          <w:color w:val="231F20"/>
          <w:shd w:val="clear" w:color="auto" w:fill="FFFFFF"/>
        </w:rPr>
        <w:t>NTRAL</w:t>
      </w:r>
      <w:r w:rsidR="00D8115E">
        <w:rPr>
          <w:color w:val="231F20"/>
          <w:shd w:val="clear" w:color="auto" w:fill="FFFFFF"/>
        </w:rPr>
        <w:t>O</w:t>
      </w:r>
      <w:r w:rsidR="002F3599">
        <w:rPr>
          <w:color w:val="231F20"/>
          <w:shd w:val="clear" w:color="auto" w:fill="FFFFFF"/>
        </w:rPr>
        <w:t>RI</w:t>
      </w:r>
      <w:r w:rsidR="00175E2B">
        <w:rPr>
          <w:color w:val="231F20"/>
          <w:shd w:val="clear" w:color="auto" w:fill="FFFFFF"/>
        </w:rPr>
        <w:t>A GENERAL</w:t>
      </w:r>
      <w:r w:rsidR="00DF59E6">
        <w:rPr>
          <w:color w:val="231F20"/>
          <w:shd w:val="clear" w:color="auto" w:fill="FFFFFF"/>
        </w:rPr>
        <w:t xml:space="preserve"> DE L</w:t>
      </w:r>
      <w:r w:rsidR="000756EF">
        <w:rPr>
          <w:color w:val="231F20"/>
          <w:shd w:val="clear" w:color="auto" w:fill="FFFFFF"/>
        </w:rPr>
        <w:t>A REP</w:t>
      </w:r>
      <w:r w:rsidR="00070C18">
        <w:rPr>
          <w:color w:val="231F20"/>
          <w:shd w:val="clear" w:color="auto" w:fill="FFFFFF"/>
        </w:rPr>
        <w:t>UBL</w:t>
      </w:r>
      <w:r w:rsidR="000F6B50">
        <w:rPr>
          <w:color w:val="231F20"/>
          <w:shd w:val="clear" w:color="auto" w:fill="FFFFFF"/>
        </w:rPr>
        <w:t>I</w:t>
      </w:r>
      <w:r w:rsidR="008E599E">
        <w:rPr>
          <w:color w:val="231F20"/>
          <w:shd w:val="clear" w:color="auto" w:fill="FFFFFF"/>
        </w:rPr>
        <w:t>CA (</w:t>
      </w:r>
      <w:r w:rsidR="00F83D51">
        <w:rPr>
          <w:color w:val="231F20"/>
          <w:shd w:val="clear" w:color="auto" w:fill="FFFFFF"/>
        </w:rPr>
        <w:t>2014):</w:t>
      </w:r>
      <w:r w:rsidR="00727515">
        <w:rPr>
          <w:color w:val="231F20"/>
          <w:shd w:val="clear" w:color="auto" w:fill="FFFFFF"/>
        </w:rPr>
        <w:t xml:space="preserve"> </w:t>
      </w:r>
      <w:r w:rsidR="00727515" w:rsidRPr="00597DB0">
        <w:rPr>
          <w:i/>
          <w:color w:val="231F20"/>
          <w:shd w:val="clear" w:color="auto" w:fill="FFFFFF"/>
        </w:rPr>
        <w:t>Estudio del P</w:t>
      </w:r>
      <w:r w:rsidR="00597DB0" w:rsidRPr="00597DB0">
        <w:rPr>
          <w:i/>
          <w:color w:val="231F20"/>
          <w:shd w:val="clear" w:color="auto" w:fill="FFFFFF"/>
        </w:rPr>
        <w:t>roces</w:t>
      </w:r>
      <w:r w:rsidR="00967844">
        <w:rPr>
          <w:i/>
          <w:color w:val="231F20"/>
          <w:shd w:val="clear" w:color="auto" w:fill="FFFFFF"/>
        </w:rPr>
        <w:t>o de Descentralización del Perú</w:t>
      </w:r>
      <w:r w:rsidR="00597DB0">
        <w:rPr>
          <w:color w:val="231F20"/>
          <w:shd w:val="clear" w:color="auto" w:fill="FFFFFF"/>
        </w:rPr>
        <w:t>. Estudio Auspiciado</w:t>
      </w:r>
      <w:r w:rsidR="00597DB0" w:rsidRPr="00597DB0">
        <w:rPr>
          <w:color w:val="231F20"/>
          <w:shd w:val="clear" w:color="auto" w:fill="FFFFFF"/>
        </w:rPr>
        <w:t xml:space="preserve"> por </w:t>
      </w:r>
      <w:r w:rsidR="00597DB0">
        <w:rPr>
          <w:color w:val="231F20"/>
          <w:shd w:val="clear" w:color="auto" w:fill="FFFFFF"/>
        </w:rPr>
        <w:t xml:space="preserve">el </w:t>
      </w:r>
      <w:r w:rsidR="00597DB0" w:rsidRPr="00597DB0">
        <w:rPr>
          <w:rFonts w:cs="FrutigerLT-Light"/>
          <w:color w:val="333333"/>
        </w:rPr>
        <w:t>Programa de las Naciones Unidas para el Desarrollo PNUD y de la</w:t>
      </w:r>
      <w:r w:rsidR="00E976F6">
        <w:rPr>
          <w:rFonts w:cs="FrutigerLT-Light"/>
          <w:color w:val="333333"/>
        </w:rPr>
        <w:t xml:space="preserve"> </w:t>
      </w:r>
      <w:r w:rsidR="00597DB0" w:rsidRPr="00597DB0">
        <w:rPr>
          <w:rFonts w:cs="FrutigerLT-Light"/>
          <w:color w:val="333333"/>
        </w:rPr>
        <w:t>Cooperación Alemana implementada por GIZ.</w:t>
      </w:r>
      <w:r w:rsidR="00597DB0">
        <w:rPr>
          <w:color w:val="231F20"/>
          <w:shd w:val="clear" w:color="auto" w:fill="FFFFFF"/>
        </w:rPr>
        <w:t xml:space="preserve"> </w:t>
      </w:r>
      <w:r w:rsidR="00597DB0" w:rsidRPr="00597DB0">
        <w:rPr>
          <w:rFonts w:cs="FrutigerLT-Light"/>
          <w:color w:val="333333"/>
        </w:rPr>
        <w:t>Tarea Asociación Gráfica Educativa</w:t>
      </w:r>
      <w:r w:rsidR="00597DB0">
        <w:rPr>
          <w:rFonts w:cs="FrutigerLT-Light"/>
          <w:color w:val="333333"/>
        </w:rPr>
        <w:t>. Lima.</w:t>
      </w:r>
    </w:p>
    <w:p w14:paraId="02E12398" w14:textId="77777777" w:rsidR="00451DC4" w:rsidRPr="00FC11B2" w:rsidRDefault="00EA1E02" w:rsidP="00FC11B2">
      <w:pPr>
        <w:spacing w:before="240" w:line="240" w:lineRule="auto"/>
        <w:ind w:left="567" w:hanging="567"/>
        <w:jc w:val="both"/>
        <w:rPr>
          <w:lang w:val="en-US"/>
        </w:rPr>
      </w:pPr>
      <w:r w:rsidRPr="008B5F29">
        <w:rPr>
          <w:color w:val="231F20"/>
          <w:shd w:val="clear" w:color="auto" w:fill="FFFFFF"/>
        </w:rPr>
        <w:t>ESCUELA DE GESTIÓN PÚBLICA DE LA UNIVERSIDAD DEL PACÍFICO</w:t>
      </w:r>
      <w:r w:rsidR="00F73204">
        <w:rPr>
          <w:color w:val="231F20"/>
          <w:shd w:val="clear" w:color="auto" w:fill="FFFFFF"/>
        </w:rPr>
        <w:t xml:space="preserve"> </w:t>
      </w:r>
      <w:r w:rsidR="00E314D9" w:rsidRPr="008B5F29">
        <w:t>(2015</w:t>
      </w:r>
      <w:r w:rsidR="001B6F45" w:rsidRPr="008B5F29">
        <w:t>)</w:t>
      </w:r>
      <w:r w:rsidR="00847BD8" w:rsidRPr="008B5F29">
        <w:t>:</w:t>
      </w:r>
      <w:r w:rsidR="00967844">
        <w:rPr>
          <w:i/>
        </w:rPr>
        <w:t xml:space="preserve"> </w:t>
      </w:r>
      <w:r w:rsidR="00451DC4" w:rsidRPr="008B5F29">
        <w:rPr>
          <w:bCs/>
          <w:i/>
          <w:color w:val="231F20"/>
          <w:shd w:val="clear" w:color="auto" w:fill="FFFFFF"/>
        </w:rPr>
        <w:t>Un Plan para salir de la pobreza: Plan Nacional</w:t>
      </w:r>
      <w:r w:rsidR="00967844">
        <w:rPr>
          <w:bCs/>
          <w:i/>
          <w:color w:val="231F20"/>
          <w:shd w:val="clear" w:color="auto" w:fill="FFFFFF"/>
        </w:rPr>
        <w:t xml:space="preserve"> de Infraestructura 2016 – 2025</w:t>
      </w:r>
      <w:r w:rsidR="00451DC4" w:rsidRPr="008B5F29">
        <w:rPr>
          <w:bCs/>
          <w:color w:val="231F20"/>
          <w:shd w:val="clear" w:color="auto" w:fill="FFFFFF"/>
        </w:rPr>
        <w:t xml:space="preserve">. </w:t>
      </w:r>
      <w:r w:rsidRPr="008B5F29">
        <w:rPr>
          <w:bCs/>
          <w:color w:val="231F20"/>
          <w:shd w:val="clear" w:color="auto" w:fill="FFFFFF"/>
        </w:rPr>
        <w:t xml:space="preserve"> Editado po</w:t>
      </w:r>
      <w:r w:rsidR="00D61D7F" w:rsidRPr="008B5F29">
        <w:rPr>
          <w:bCs/>
          <w:color w:val="231F20"/>
          <w:shd w:val="clear" w:color="auto" w:fill="FFFFFF"/>
        </w:rPr>
        <w:t xml:space="preserve">r la Asociación para el Fomento de la Infraestructura nacional </w:t>
      </w:r>
      <w:r w:rsidR="00E314D9" w:rsidRPr="008B5F29">
        <w:rPr>
          <w:bCs/>
          <w:color w:val="231F20"/>
          <w:shd w:val="clear" w:color="auto" w:fill="FFFFFF"/>
        </w:rPr>
        <w:t>–</w:t>
      </w:r>
      <w:r w:rsidR="00D61D7F" w:rsidRPr="008B5F29">
        <w:rPr>
          <w:bCs/>
          <w:color w:val="231F20"/>
          <w:shd w:val="clear" w:color="auto" w:fill="FFFFFF"/>
        </w:rPr>
        <w:t>AFI</w:t>
      </w:r>
      <w:r w:rsidR="00E314D9" w:rsidRPr="008B5F29">
        <w:rPr>
          <w:bCs/>
          <w:color w:val="231F20"/>
          <w:shd w:val="clear" w:color="auto" w:fill="FFFFFF"/>
        </w:rPr>
        <w:t xml:space="preserve">N. </w:t>
      </w:r>
      <w:r w:rsidR="00451DC4" w:rsidRPr="00FC11B2">
        <w:rPr>
          <w:bCs/>
          <w:color w:val="231F20"/>
          <w:shd w:val="clear" w:color="auto" w:fill="FFFFFF"/>
          <w:lang w:val="en-US"/>
        </w:rPr>
        <w:t>L</w:t>
      </w:r>
      <w:r w:rsidRPr="00FC11B2">
        <w:rPr>
          <w:bCs/>
          <w:color w:val="231F20"/>
          <w:shd w:val="clear" w:color="auto" w:fill="FFFFFF"/>
          <w:lang w:val="en-US"/>
        </w:rPr>
        <w:t>ima.</w:t>
      </w:r>
    </w:p>
    <w:p w14:paraId="121F2988" w14:textId="77777777" w:rsidR="00DD6133" w:rsidRPr="00C401A0" w:rsidRDefault="009C2EC4" w:rsidP="007255C5">
      <w:pPr>
        <w:autoSpaceDE w:val="0"/>
        <w:autoSpaceDN w:val="0"/>
        <w:adjustRightInd w:val="0"/>
        <w:spacing w:before="240" w:after="0" w:line="240" w:lineRule="auto"/>
        <w:ind w:left="567" w:hanging="567"/>
        <w:jc w:val="both"/>
        <w:rPr>
          <w:rFonts w:cs="TimesNewRomanPSMT"/>
          <w:lang w:val="en-US"/>
        </w:rPr>
      </w:pPr>
      <w:r w:rsidRPr="00FC11B2">
        <w:rPr>
          <w:rFonts w:cs="TimesNewRomanPSMT"/>
          <w:lang w:val="en-US"/>
        </w:rPr>
        <w:t xml:space="preserve">FILMER, Deon, y PRITCHETT, Leon (1999):  </w:t>
      </w:r>
      <w:r w:rsidRPr="00FC11B2">
        <w:rPr>
          <w:rFonts w:cs="TimesNewRomanPSMT"/>
          <w:i/>
          <w:lang w:val="en-US"/>
        </w:rPr>
        <w:t>The impact of public spendin</w:t>
      </w:r>
      <w:r w:rsidR="00967844">
        <w:rPr>
          <w:rFonts w:cs="TimesNewRomanPSMT"/>
          <w:i/>
          <w:lang w:val="en-US"/>
        </w:rPr>
        <w:t>g on health: does money matter?</w:t>
      </w:r>
      <w:r w:rsidRPr="00FC11B2">
        <w:rPr>
          <w:rFonts w:cs="TimesNewRomanPSMT"/>
          <w:lang w:val="en-US"/>
        </w:rPr>
        <w:t xml:space="preserve">  </w:t>
      </w:r>
      <w:r w:rsidRPr="00C401A0">
        <w:rPr>
          <w:rFonts w:cs="TimesNewRomanPS-ItalicMT"/>
          <w:iCs/>
          <w:lang w:val="en-US"/>
        </w:rPr>
        <w:t>Social Science &amp; Medicine, 49.</w:t>
      </w:r>
    </w:p>
    <w:p w14:paraId="5088F96F" w14:textId="77777777" w:rsidR="008A3C65" w:rsidRPr="008A3C65" w:rsidRDefault="008A3C65" w:rsidP="00FC11B2">
      <w:pPr>
        <w:autoSpaceDE w:val="0"/>
        <w:autoSpaceDN w:val="0"/>
        <w:adjustRightInd w:val="0"/>
        <w:spacing w:before="240" w:after="0" w:line="240" w:lineRule="auto"/>
        <w:ind w:left="567" w:hanging="567"/>
        <w:rPr>
          <w:rFonts w:cs="TimesNewRomanPSMT"/>
        </w:rPr>
      </w:pPr>
      <w:r w:rsidRPr="00FC11B2">
        <w:rPr>
          <w:rFonts w:cs="TimesNewRomanPSMT"/>
          <w:lang w:val="en-US"/>
        </w:rPr>
        <w:t xml:space="preserve">GUPTA, Sanjeev; VERHOEVEN, Marijn, y </w:t>
      </w:r>
      <w:r w:rsidR="00ED0ABC" w:rsidRPr="00FC11B2">
        <w:rPr>
          <w:rFonts w:cs="TimesNewRomanPSMT"/>
          <w:lang w:val="en-US"/>
        </w:rPr>
        <w:t>TIONGSON</w:t>
      </w:r>
      <w:r w:rsidRPr="00FC11B2">
        <w:rPr>
          <w:rFonts w:cs="TimesNewRomanPSMT"/>
          <w:lang w:val="en-US"/>
        </w:rPr>
        <w:t xml:space="preserve">, Erwin (2001), </w:t>
      </w:r>
      <w:r w:rsidRPr="00FC11B2">
        <w:rPr>
          <w:rFonts w:cs="TimesNewRomanPSMT"/>
          <w:i/>
          <w:lang w:val="en-US"/>
        </w:rPr>
        <w:t xml:space="preserve">Public spending on </w:t>
      </w:r>
      <w:r w:rsidR="00967844">
        <w:rPr>
          <w:rFonts w:cs="TimesNewRomanPSMT"/>
          <w:i/>
          <w:lang w:val="en-US"/>
        </w:rPr>
        <w:t>health care and the poor</w:t>
      </w:r>
      <w:r w:rsidR="00ED0ABC" w:rsidRPr="00FC11B2">
        <w:rPr>
          <w:rFonts w:cs="TimesNewRomanPSMT"/>
          <w:i/>
          <w:lang w:val="en-US"/>
        </w:rPr>
        <w:t xml:space="preserve">. </w:t>
      </w:r>
      <w:r w:rsidRPr="00FC11B2">
        <w:rPr>
          <w:rFonts w:cs="TimesNewRomanPSMT"/>
          <w:lang w:val="en-US"/>
        </w:rPr>
        <w:t xml:space="preserve"> </w:t>
      </w:r>
      <w:r w:rsidR="00ED0ABC" w:rsidRPr="00ED0ABC">
        <w:rPr>
          <w:rFonts w:cs="TimesNewRomanPS-ItalicMT"/>
          <w:iCs/>
        </w:rPr>
        <w:t>W</w:t>
      </w:r>
      <w:r w:rsidRPr="00ED0ABC">
        <w:rPr>
          <w:rFonts w:cs="TimesNewRomanPS-ItalicMT"/>
          <w:iCs/>
        </w:rPr>
        <w:t>orking paper</w:t>
      </w:r>
      <w:r w:rsidRPr="00ED0ABC">
        <w:rPr>
          <w:rFonts w:cs="TimesNewRomanPSMT"/>
        </w:rPr>
        <w:t>, International Monetary Fund</w:t>
      </w:r>
      <w:r w:rsidRPr="008A3C65">
        <w:rPr>
          <w:rFonts w:cs="TimesNewRomanPSMT"/>
        </w:rPr>
        <w:t>.</w:t>
      </w:r>
    </w:p>
    <w:p w14:paraId="31D5FC8E" w14:textId="77777777" w:rsidR="00E66CDD" w:rsidRPr="00C401A0" w:rsidRDefault="00E66CDD" w:rsidP="00E66CDD">
      <w:pPr>
        <w:autoSpaceDE w:val="0"/>
        <w:autoSpaceDN w:val="0"/>
        <w:adjustRightInd w:val="0"/>
        <w:spacing w:before="240" w:after="0" w:line="240" w:lineRule="auto"/>
        <w:ind w:left="567" w:hanging="567"/>
        <w:jc w:val="both"/>
        <w:rPr>
          <w:rFonts w:cs="TimesNewRomanPS-ItalicMT"/>
          <w:iCs/>
          <w:lang w:val="en-US"/>
        </w:rPr>
      </w:pPr>
      <w:r w:rsidRPr="009F4446">
        <w:rPr>
          <w:rFonts w:cs="TimesNewRomanPSMT"/>
        </w:rPr>
        <w:t>HERNÁNDEZ</w:t>
      </w:r>
      <w:r>
        <w:rPr>
          <w:rFonts w:cs="TimesNewRomanPSMT"/>
        </w:rPr>
        <w:t xml:space="preserve">, Luis (2010): </w:t>
      </w:r>
      <w:r w:rsidRPr="009F4446">
        <w:rPr>
          <w:rFonts w:cs="TimesNewRomanPSMT"/>
        </w:rPr>
        <w:t xml:space="preserve"> </w:t>
      </w:r>
      <w:r w:rsidRPr="009F4446">
        <w:rPr>
          <w:rFonts w:cs="TimesNewRomanPSMT"/>
          <w:i/>
        </w:rPr>
        <w:t>Inversión pública y crecimiento económico: Hacia una nueva perspec</w:t>
      </w:r>
      <w:r w:rsidR="00967844">
        <w:rPr>
          <w:rFonts w:cs="TimesNewRomanPSMT"/>
          <w:i/>
        </w:rPr>
        <w:t>tiva de la función del gobierno</w:t>
      </w:r>
      <w:r>
        <w:rPr>
          <w:rFonts w:cs="TimesNewRomanPSMT"/>
        </w:rPr>
        <w:t xml:space="preserve">. </w:t>
      </w:r>
      <w:r w:rsidRPr="009F4446">
        <w:rPr>
          <w:rFonts w:cs="TimesNewRomanPSMT"/>
        </w:rPr>
        <w:t xml:space="preserve"> </w:t>
      </w:r>
      <w:r w:rsidRPr="00C401A0">
        <w:rPr>
          <w:rFonts w:cs="TimesNewRomanPS-ItalicMT"/>
          <w:iCs/>
          <w:lang w:val="en-US"/>
        </w:rPr>
        <w:t>Economía: Teoría y Práctica.</w:t>
      </w:r>
    </w:p>
    <w:p w14:paraId="79469645" w14:textId="77777777" w:rsidR="00E66CDD" w:rsidRPr="00E66CDD" w:rsidRDefault="00E66CDD" w:rsidP="00E66CDD">
      <w:pPr>
        <w:autoSpaceDE w:val="0"/>
        <w:autoSpaceDN w:val="0"/>
        <w:adjustRightInd w:val="0"/>
        <w:spacing w:before="240" w:after="0" w:line="240" w:lineRule="auto"/>
        <w:ind w:left="567" w:hanging="567"/>
        <w:jc w:val="both"/>
        <w:rPr>
          <w:rFonts w:cs="TimesNewRomanPSMT"/>
        </w:rPr>
      </w:pPr>
      <w:r w:rsidRPr="00C401A0">
        <w:rPr>
          <w:rFonts w:cs="TimesNewRomanPSMT"/>
          <w:lang w:val="en-US"/>
        </w:rPr>
        <w:t xml:space="preserve">HERRERA, </w:t>
      </w:r>
      <w:r w:rsidR="00967844">
        <w:rPr>
          <w:rFonts w:cs="TimesNewRomanPSMT"/>
          <w:lang w:val="en-US"/>
        </w:rPr>
        <w:t xml:space="preserve">Santiago y PANG, Gaobo (2005): </w:t>
      </w:r>
      <w:r w:rsidRPr="00967844">
        <w:rPr>
          <w:rFonts w:cs="TimesNewRomanPSMT"/>
          <w:i/>
          <w:lang w:val="en-US"/>
        </w:rPr>
        <w:t xml:space="preserve">Efficiency of public spending in developing countries: </w:t>
      </w:r>
      <w:r w:rsidR="00967844" w:rsidRPr="00967844">
        <w:rPr>
          <w:rFonts w:cs="TimesNewRomanPSMT"/>
          <w:i/>
          <w:lang w:val="en-US"/>
        </w:rPr>
        <w:t>an efficiency frontier approach</w:t>
      </w:r>
      <w:r w:rsidRPr="00C401A0">
        <w:rPr>
          <w:rFonts w:cs="TimesNewRomanPSMT"/>
          <w:lang w:val="en-US"/>
        </w:rPr>
        <w:t xml:space="preserve">.  </w:t>
      </w:r>
      <w:r w:rsidRPr="00466A7F">
        <w:rPr>
          <w:rFonts w:cs="TimesNewRomanPSMT"/>
        </w:rPr>
        <w:t>Working Paper S</w:t>
      </w:r>
      <w:r>
        <w:rPr>
          <w:rFonts w:cs="TimesNewRomanPSMT"/>
        </w:rPr>
        <w:t xml:space="preserve">eries 3645, The </w:t>
      </w:r>
      <w:r w:rsidRPr="00466A7F">
        <w:rPr>
          <w:rFonts w:cs="TimesNewRomanPSMT"/>
        </w:rPr>
        <w:t>World Bank</w:t>
      </w:r>
      <w:r>
        <w:rPr>
          <w:rFonts w:cs="TimesNewRomanPSMT"/>
        </w:rPr>
        <w:t>.</w:t>
      </w:r>
    </w:p>
    <w:p w14:paraId="23FFC83C" w14:textId="77777777" w:rsidR="002E1ED5" w:rsidRDefault="004133CC" w:rsidP="00FC11B2">
      <w:pPr>
        <w:autoSpaceDE w:val="0"/>
        <w:autoSpaceDN w:val="0"/>
        <w:adjustRightInd w:val="0"/>
        <w:spacing w:before="240" w:after="0" w:line="240" w:lineRule="auto"/>
        <w:ind w:left="567" w:hanging="567"/>
        <w:jc w:val="both"/>
        <w:rPr>
          <w:rFonts w:cs="Arial"/>
          <w:color w:val="333232"/>
        </w:rPr>
      </w:pPr>
      <w:r w:rsidRPr="008B5F29">
        <w:t xml:space="preserve">INSTITUTO NACIONAL DE ESTADISTICA E INFORMATICA (2016): </w:t>
      </w:r>
      <w:r w:rsidRPr="008B5F29">
        <w:rPr>
          <w:i/>
        </w:rPr>
        <w:t>Evolución de la pobreza monetaria 2009-2015</w:t>
      </w:r>
      <w:r w:rsidR="0006032D" w:rsidRPr="008B5F29">
        <w:rPr>
          <w:i/>
        </w:rPr>
        <w:t>.</w:t>
      </w:r>
      <w:r w:rsidR="0006032D" w:rsidRPr="008B5F29">
        <w:t xml:space="preserve"> Informe Técnico. Lima.</w:t>
      </w:r>
    </w:p>
    <w:p w14:paraId="26B16051" w14:textId="77777777" w:rsidR="00201B03" w:rsidRPr="00FC11B2" w:rsidRDefault="00671ABC" w:rsidP="00FC11B2">
      <w:pPr>
        <w:autoSpaceDE w:val="0"/>
        <w:autoSpaceDN w:val="0"/>
        <w:adjustRightInd w:val="0"/>
        <w:spacing w:before="240" w:after="0" w:line="240" w:lineRule="auto"/>
        <w:ind w:left="567" w:hanging="567"/>
        <w:jc w:val="both"/>
        <w:rPr>
          <w:color w:val="000000"/>
          <w:shd w:val="clear" w:color="auto" w:fill="FFFFFF"/>
          <w:lang w:val="en-US"/>
        </w:rPr>
      </w:pPr>
      <w:r w:rsidRPr="008B5F29">
        <w:lastRenderedPageBreak/>
        <w:t xml:space="preserve">INSTITUTO PERUANO DE ECONOMIA (2016): </w:t>
      </w:r>
      <w:r w:rsidR="00FB4B10" w:rsidRPr="008B5F29">
        <w:rPr>
          <w:i/>
        </w:rPr>
        <w:t>Í</w:t>
      </w:r>
      <w:r w:rsidRPr="008B5F29">
        <w:rPr>
          <w:i/>
        </w:rPr>
        <w:t>ndice de Compet</w:t>
      </w:r>
      <w:r w:rsidR="00967844">
        <w:rPr>
          <w:i/>
        </w:rPr>
        <w:t>itividad Regional – Incore 2016</w:t>
      </w:r>
      <w:r w:rsidRPr="008B5F29">
        <w:t xml:space="preserve">. </w:t>
      </w:r>
      <w:r w:rsidRPr="00FC11B2">
        <w:rPr>
          <w:lang w:val="en-US"/>
        </w:rPr>
        <w:t>Lima</w:t>
      </w:r>
      <w:r w:rsidR="00050DCE" w:rsidRPr="00FC11B2">
        <w:rPr>
          <w:lang w:val="en-US"/>
        </w:rPr>
        <w:t xml:space="preserve">. Disponible en: </w:t>
      </w:r>
      <w:hyperlink r:id="rId9" w:history="1">
        <w:r w:rsidR="00435F14" w:rsidRPr="00967844">
          <w:rPr>
            <w:rStyle w:val="Hipervnculo"/>
            <w:color w:val="000000" w:themeColor="text1"/>
            <w:u w:val="none"/>
            <w:shd w:val="clear" w:color="auto" w:fill="FFFFFF"/>
            <w:lang w:val="en-US"/>
          </w:rPr>
          <w:t>http://ipe.org.pe/biblioteca-virtual</w:t>
        </w:r>
      </w:hyperlink>
      <w:r w:rsidR="00050DCE" w:rsidRPr="00FC11B2">
        <w:rPr>
          <w:color w:val="000000"/>
          <w:shd w:val="clear" w:color="auto" w:fill="FFFFFF"/>
          <w:lang w:val="en-US"/>
        </w:rPr>
        <w:t>.</w:t>
      </w:r>
    </w:p>
    <w:p w14:paraId="7DC8D7F1" w14:textId="77777777" w:rsidR="00DE33A1" w:rsidRPr="00FC11B2" w:rsidRDefault="00DE33A1" w:rsidP="00FC11B2">
      <w:pPr>
        <w:autoSpaceDE w:val="0"/>
        <w:autoSpaceDN w:val="0"/>
        <w:adjustRightInd w:val="0"/>
        <w:spacing w:before="240" w:after="0" w:line="240" w:lineRule="auto"/>
        <w:ind w:left="567" w:hanging="567"/>
        <w:jc w:val="both"/>
        <w:rPr>
          <w:rFonts w:cs="TimesNewRomanPS-ItalicMT"/>
          <w:i/>
          <w:iCs/>
          <w:lang w:val="en-US"/>
        </w:rPr>
      </w:pPr>
      <w:r w:rsidRPr="00FC11B2">
        <w:rPr>
          <w:rFonts w:cs="TimesNewRomanPSMT"/>
          <w:lang w:val="en-US"/>
        </w:rPr>
        <w:t xml:space="preserve">JAYASURIYA, Ruwan, y WODON, Quentin (2003): </w:t>
      </w:r>
      <w:r w:rsidRPr="00FC11B2">
        <w:rPr>
          <w:rFonts w:cs="TimesNewRomanPS-ItalicMT"/>
          <w:i/>
          <w:iCs/>
          <w:lang w:val="en-US"/>
        </w:rPr>
        <w:t xml:space="preserve">Measuring and Explaining Country Efficiency in Improving </w:t>
      </w:r>
      <w:r w:rsidR="00967844">
        <w:rPr>
          <w:rFonts w:cs="TimesNewRomanPS-ItalicMT"/>
          <w:i/>
          <w:iCs/>
          <w:lang w:val="en-US"/>
        </w:rPr>
        <w:t>Health and Education Indicators</w:t>
      </w:r>
      <w:r w:rsidRPr="00FC11B2">
        <w:rPr>
          <w:rFonts w:cs="TimesNewRomanPS-ItalicMT"/>
          <w:i/>
          <w:iCs/>
          <w:lang w:val="en-US"/>
        </w:rPr>
        <w:t xml:space="preserve">. </w:t>
      </w:r>
      <w:r w:rsidRPr="00FC11B2">
        <w:rPr>
          <w:rFonts w:cs="TimesNewRomanPS-ItalicMT"/>
          <w:iCs/>
          <w:lang w:val="en-US"/>
        </w:rPr>
        <w:t>En R. Jayasuriya y Q. Wodon (eds.), Efficiency in Reaching the Millennium Development Goals</w:t>
      </w:r>
      <w:r w:rsidRPr="00FC11B2">
        <w:rPr>
          <w:rFonts w:cs="TimesNewRomanPSMT"/>
          <w:lang w:val="en-US"/>
        </w:rPr>
        <w:t>,World Bank Working Paper 9, Washington, The World Bank.</w:t>
      </w:r>
    </w:p>
    <w:p w14:paraId="1D11348F" w14:textId="77777777" w:rsidR="00EE742C" w:rsidRPr="0003775B" w:rsidRDefault="0003775B" w:rsidP="00FC11B2">
      <w:pPr>
        <w:autoSpaceDE w:val="0"/>
        <w:autoSpaceDN w:val="0"/>
        <w:adjustRightInd w:val="0"/>
        <w:spacing w:before="240" w:after="0" w:line="240" w:lineRule="auto"/>
        <w:ind w:left="567" w:hanging="567"/>
        <w:jc w:val="both"/>
        <w:rPr>
          <w:rFonts w:cs="TimesNewRomanPSMT"/>
        </w:rPr>
      </w:pPr>
      <w:r w:rsidRPr="00FC11B2">
        <w:rPr>
          <w:rFonts w:cs="TimesNewRomanPSMT"/>
          <w:lang w:val="en-US"/>
        </w:rPr>
        <w:t xml:space="preserve">LINDAUER, David L y VELENCHIK, Ann D. (1992), </w:t>
      </w:r>
      <w:r w:rsidRPr="00FC11B2">
        <w:rPr>
          <w:rFonts w:cs="TimesNewRomanPSMT"/>
          <w:i/>
          <w:lang w:val="en-US"/>
        </w:rPr>
        <w:t xml:space="preserve">Government spending in developing countries. </w:t>
      </w:r>
      <w:r w:rsidRPr="0003775B">
        <w:rPr>
          <w:rFonts w:cs="TimesNewRomanPSMT"/>
          <w:i/>
        </w:rPr>
        <w:t>Tr</w:t>
      </w:r>
      <w:r w:rsidR="00967844">
        <w:rPr>
          <w:rFonts w:cs="TimesNewRomanPSMT"/>
          <w:i/>
        </w:rPr>
        <w:t>ends, Causes, and Consequences</w:t>
      </w:r>
      <w:r>
        <w:rPr>
          <w:rFonts w:cs="TimesNewRomanPSMT"/>
          <w:i/>
        </w:rPr>
        <w:t>.</w:t>
      </w:r>
      <w:r w:rsidRPr="0003775B">
        <w:rPr>
          <w:rFonts w:cs="TimesNewRomanPSMT"/>
        </w:rPr>
        <w:t xml:space="preserve"> </w:t>
      </w:r>
      <w:r w:rsidRPr="0003775B">
        <w:rPr>
          <w:rFonts w:cs="TimesNewRomanPS-ItalicMT"/>
          <w:iCs/>
        </w:rPr>
        <w:t>The World Bank Research Observer.</w:t>
      </w:r>
    </w:p>
    <w:p w14:paraId="381A1D1A" w14:textId="77777777" w:rsidR="00435F14" w:rsidRPr="00967844" w:rsidRDefault="00435F14" w:rsidP="00FC11B2">
      <w:pPr>
        <w:autoSpaceDE w:val="0"/>
        <w:autoSpaceDN w:val="0"/>
        <w:adjustRightInd w:val="0"/>
        <w:spacing w:before="240" w:after="0" w:line="240" w:lineRule="auto"/>
        <w:ind w:left="567" w:hanging="567"/>
        <w:jc w:val="both"/>
        <w:rPr>
          <w:color w:val="000000" w:themeColor="text1"/>
          <w:shd w:val="clear" w:color="auto" w:fill="FFFFFF"/>
        </w:rPr>
      </w:pPr>
      <w:r>
        <w:rPr>
          <w:color w:val="000000"/>
          <w:shd w:val="clear" w:color="auto" w:fill="FFFFFF"/>
        </w:rPr>
        <w:t xml:space="preserve">MINISTERIO DE ECONOMIA Y FINANZAS (2017): “Portal del Ministerio de Economía y Finanzas”. Lima. Disponible en </w:t>
      </w:r>
      <w:hyperlink r:id="rId10" w:history="1">
        <w:r w:rsidRPr="00967844">
          <w:rPr>
            <w:rStyle w:val="Hipervnculo"/>
            <w:color w:val="000000" w:themeColor="text1"/>
            <w:u w:val="none"/>
            <w:shd w:val="clear" w:color="auto" w:fill="FFFFFF"/>
          </w:rPr>
          <w:t>https://www.mef.gob.pe/es/inversion-privada-sp-21801</w:t>
        </w:r>
      </w:hyperlink>
      <w:r w:rsidRPr="00967844">
        <w:rPr>
          <w:color w:val="000000" w:themeColor="text1"/>
          <w:shd w:val="clear" w:color="auto" w:fill="FFFFFF"/>
        </w:rPr>
        <w:t>.</w:t>
      </w:r>
    </w:p>
    <w:p w14:paraId="5CDB4F67" w14:textId="77777777" w:rsidR="00376555" w:rsidRPr="00FC11B2" w:rsidRDefault="00376555" w:rsidP="00FC11B2">
      <w:pPr>
        <w:autoSpaceDE w:val="0"/>
        <w:autoSpaceDN w:val="0"/>
        <w:adjustRightInd w:val="0"/>
        <w:spacing w:before="240" w:after="0" w:line="240" w:lineRule="auto"/>
        <w:ind w:left="567" w:hanging="567"/>
        <w:jc w:val="both"/>
        <w:rPr>
          <w:rFonts w:eastAsia="Gotham-Book" w:cs="Gotham-Book"/>
          <w:lang w:val="en-US"/>
        </w:rPr>
      </w:pPr>
      <w:r w:rsidRPr="00FC11B2">
        <w:rPr>
          <w:rFonts w:eastAsia="Gotham-Book" w:cs="Gotham-Book"/>
          <w:lang w:val="en-US"/>
        </w:rPr>
        <w:t xml:space="preserve">MUSGRAVE, R. (1969): </w:t>
      </w:r>
      <w:r w:rsidR="00967844">
        <w:rPr>
          <w:rFonts w:eastAsia="Gotham-Book" w:cs="Gotham-Book"/>
          <w:i/>
          <w:lang w:val="en-US"/>
        </w:rPr>
        <w:t>Theories of Fiscal Federalism.</w:t>
      </w:r>
      <w:r w:rsidRPr="00FC11B2">
        <w:rPr>
          <w:rFonts w:eastAsia="Gotham-Book" w:cs="Gotham-Book"/>
          <w:lang w:val="en-US"/>
        </w:rPr>
        <w:t xml:space="preserve"> </w:t>
      </w:r>
      <w:r w:rsidRPr="00FC11B2">
        <w:rPr>
          <w:rFonts w:eastAsia="Gotham-Book" w:cs="Gotham-BookItalic"/>
          <w:iCs/>
          <w:lang w:val="en-US"/>
        </w:rPr>
        <w:t>Public Finance</w:t>
      </w:r>
      <w:r w:rsidRPr="00FC11B2">
        <w:rPr>
          <w:rFonts w:eastAsia="Gotham-Book" w:cs="Gotham-BookItalic"/>
          <w:i/>
          <w:iCs/>
          <w:lang w:val="en-US"/>
        </w:rPr>
        <w:t xml:space="preserve"> </w:t>
      </w:r>
      <w:r w:rsidRPr="00FC11B2">
        <w:rPr>
          <w:rFonts w:eastAsia="Gotham-Book" w:cs="Gotham-Book"/>
          <w:lang w:val="en-US"/>
        </w:rPr>
        <w:t>24.</w:t>
      </w:r>
    </w:p>
    <w:p w14:paraId="6481FDE7" w14:textId="77777777" w:rsidR="0058422A" w:rsidRPr="00FC11B2" w:rsidRDefault="0058422A" w:rsidP="00FC11B2">
      <w:pPr>
        <w:autoSpaceDE w:val="0"/>
        <w:autoSpaceDN w:val="0"/>
        <w:adjustRightInd w:val="0"/>
        <w:spacing w:before="240" w:after="0" w:line="240" w:lineRule="auto"/>
        <w:ind w:left="567" w:hanging="567"/>
        <w:jc w:val="both"/>
        <w:rPr>
          <w:rFonts w:cs="AGaramondPro-Regular"/>
          <w:lang w:val="en-US"/>
        </w:rPr>
      </w:pPr>
      <w:r>
        <w:rPr>
          <w:color w:val="000000"/>
          <w:shd w:val="clear" w:color="auto" w:fill="FFFFFF"/>
        </w:rPr>
        <w:t>NUÑEZ Carlos y TANTALEAN, Mónica (2017):</w:t>
      </w:r>
      <w:r w:rsidRPr="0058422A">
        <w:rPr>
          <w:color w:val="000000"/>
          <w:shd w:val="clear" w:color="auto" w:fill="FFFFFF"/>
        </w:rPr>
        <w:t xml:space="preserve"> </w:t>
      </w:r>
      <w:r w:rsidRPr="0058422A">
        <w:rPr>
          <w:rFonts w:cs="AGaramondPro-Regular"/>
          <w:i/>
        </w:rPr>
        <w:t>Constitución de fideicomisos sobre rentas de gobiernos regionales como mecanismo de financiamiento de proyectos de infraestructura de uso públ</w:t>
      </w:r>
      <w:r w:rsidR="00967844">
        <w:rPr>
          <w:rFonts w:cs="AGaramondPro-Regular"/>
          <w:i/>
        </w:rPr>
        <w:t>ico</w:t>
      </w:r>
      <w:r>
        <w:rPr>
          <w:rFonts w:cs="AGaramondPro-Regular"/>
        </w:rPr>
        <w:t xml:space="preserve">. Artículo Publicado en la Revista Círculo de Derecho Administrativo </w:t>
      </w:r>
      <w:r>
        <w:rPr>
          <w:rFonts w:cs="Arial"/>
          <w:color w:val="333232"/>
        </w:rPr>
        <w:t xml:space="preserve">pp. 347-357. </w:t>
      </w:r>
      <w:r w:rsidRPr="00FC11B2">
        <w:rPr>
          <w:rFonts w:cs="Arial"/>
          <w:color w:val="333232"/>
          <w:lang w:val="en-US"/>
        </w:rPr>
        <w:t>Lima</w:t>
      </w:r>
    </w:p>
    <w:p w14:paraId="69F67ECD" w14:textId="77777777" w:rsidR="0058422A" w:rsidRPr="00FC11B2" w:rsidRDefault="00376555" w:rsidP="00FC11B2">
      <w:pPr>
        <w:autoSpaceDE w:val="0"/>
        <w:autoSpaceDN w:val="0"/>
        <w:adjustRightInd w:val="0"/>
        <w:spacing w:before="240" w:after="0" w:line="240" w:lineRule="auto"/>
        <w:ind w:left="567" w:hanging="567"/>
        <w:jc w:val="both"/>
        <w:rPr>
          <w:color w:val="000000"/>
          <w:shd w:val="clear" w:color="auto" w:fill="FFFFFF"/>
          <w:lang w:val="en-US"/>
        </w:rPr>
      </w:pPr>
      <w:r w:rsidRPr="00FC11B2">
        <w:rPr>
          <w:rFonts w:eastAsia="Gotham-Book" w:cs="Gotham-Book"/>
          <w:lang w:val="en-US"/>
        </w:rPr>
        <w:t xml:space="preserve">OATES, W. (1972): </w:t>
      </w:r>
      <w:r w:rsidRPr="00FC11B2">
        <w:rPr>
          <w:rFonts w:eastAsia="Gotham-Book" w:cs="Gotham-BookItalic"/>
          <w:i/>
          <w:iCs/>
          <w:lang w:val="en-US"/>
        </w:rPr>
        <w:t>Fiscal Federalism</w:t>
      </w:r>
      <w:r w:rsidRPr="00FC11B2">
        <w:rPr>
          <w:rFonts w:eastAsia="Gotham-Book" w:cs="Gotham-Book"/>
          <w:lang w:val="en-US"/>
        </w:rPr>
        <w:t>. Nueva York, NY: Harcourt Brace Jovanovich.</w:t>
      </w:r>
    </w:p>
    <w:p w14:paraId="306B704A" w14:textId="77777777" w:rsidR="00435F14" w:rsidRPr="00605CA2" w:rsidRDefault="00967844" w:rsidP="00FC11B2">
      <w:pPr>
        <w:autoSpaceDE w:val="0"/>
        <w:autoSpaceDN w:val="0"/>
        <w:adjustRightInd w:val="0"/>
        <w:spacing w:before="240" w:after="0" w:line="240" w:lineRule="auto"/>
        <w:ind w:left="567" w:hanging="567"/>
        <w:jc w:val="both"/>
        <w:rPr>
          <w:color w:val="000000"/>
          <w:shd w:val="clear" w:color="auto" w:fill="FFFFFF"/>
        </w:rPr>
      </w:pPr>
      <w:r>
        <w:rPr>
          <w:color w:val="000000"/>
          <w:shd w:val="clear" w:color="auto" w:fill="FFFFFF"/>
        </w:rPr>
        <w:t xml:space="preserve">PROINVERSION (2017): </w:t>
      </w:r>
      <w:r w:rsidR="00435F14">
        <w:rPr>
          <w:color w:val="000000"/>
          <w:shd w:val="clear" w:color="auto" w:fill="FFFFFF"/>
        </w:rPr>
        <w:t>Portal de Pro Inversión</w:t>
      </w:r>
      <w:r w:rsidR="00453012">
        <w:rPr>
          <w:color w:val="000000"/>
          <w:shd w:val="clear" w:color="auto" w:fill="FFFFFF"/>
        </w:rPr>
        <w:t xml:space="preserve"> Institucional</w:t>
      </w:r>
      <w:r w:rsidR="00435F14">
        <w:rPr>
          <w:color w:val="000000"/>
          <w:shd w:val="clear" w:color="auto" w:fill="FFFFFF"/>
        </w:rPr>
        <w:t>. Lima. Disponible en</w:t>
      </w:r>
      <w:r w:rsidR="00453012">
        <w:rPr>
          <w:color w:val="000000"/>
          <w:shd w:val="clear" w:color="auto" w:fill="FFFFFF"/>
        </w:rPr>
        <w:t>:</w:t>
      </w:r>
      <w:r w:rsidR="00435F14">
        <w:rPr>
          <w:color w:val="000000"/>
          <w:shd w:val="clear" w:color="auto" w:fill="FFFFFF"/>
        </w:rPr>
        <w:t xml:space="preserve"> </w:t>
      </w:r>
      <w:hyperlink r:id="rId11" w:history="1">
        <w:r w:rsidR="00453012" w:rsidRPr="00967844">
          <w:rPr>
            <w:rStyle w:val="Hipervnculo"/>
            <w:color w:val="000000" w:themeColor="text1"/>
            <w:u w:val="none"/>
            <w:shd w:val="clear" w:color="auto" w:fill="FFFFFF"/>
          </w:rPr>
          <w:t>http://www.proinversion.gob.pe/modulos/LAN/landing.aspx?are=0&amp;pfl=1&amp;lan=10&amp;tit=proinversi%C3%B3n-institucional</w:t>
        </w:r>
      </w:hyperlink>
      <w:r w:rsidR="00453012" w:rsidRPr="00967844">
        <w:rPr>
          <w:color w:val="000000" w:themeColor="text1"/>
          <w:shd w:val="clear" w:color="auto" w:fill="FFFFFF"/>
        </w:rPr>
        <w:t>.</w:t>
      </w:r>
    </w:p>
    <w:p w14:paraId="24BF9D5A" w14:textId="77777777" w:rsidR="00605CA2" w:rsidRDefault="00605CA2" w:rsidP="00FC11B2">
      <w:pPr>
        <w:autoSpaceDE w:val="0"/>
        <w:autoSpaceDN w:val="0"/>
        <w:adjustRightInd w:val="0"/>
        <w:spacing w:before="240" w:after="0" w:line="240" w:lineRule="auto"/>
        <w:ind w:left="567" w:hanging="567"/>
        <w:jc w:val="both"/>
        <w:rPr>
          <w:rFonts w:cs="Arial"/>
          <w:color w:val="333232"/>
        </w:rPr>
      </w:pPr>
      <w:r>
        <w:rPr>
          <w:rFonts w:cs="Arial"/>
          <w:color w:val="333232"/>
        </w:rPr>
        <w:t xml:space="preserve">RAMÍREZ CEDILLO, Eduardo. (2011): </w:t>
      </w:r>
      <w:r w:rsidRPr="00605CA2">
        <w:rPr>
          <w:rFonts w:cs="Arial"/>
          <w:i/>
          <w:color w:val="333232"/>
        </w:rPr>
        <w:t>Federalismo y finanzas públicas: un</w:t>
      </w:r>
      <w:r w:rsidR="00967844">
        <w:rPr>
          <w:rFonts w:cs="Arial"/>
          <w:i/>
          <w:color w:val="333232"/>
        </w:rPr>
        <w:t>a discusión acotada para México</w:t>
      </w:r>
      <w:r>
        <w:rPr>
          <w:rFonts w:cs="Arial"/>
          <w:i/>
          <w:color w:val="333232"/>
        </w:rPr>
        <w:t>.</w:t>
      </w:r>
      <w:r>
        <w:rPr>
          <w:rFonts w:cs="Arial"/>
          <w:color w:val="333232"/>
        </w:rPr>
        <w:t xml:space="preserve"> </w:t>
      </w:r>
      <w:r w:rsidRPr="00605CA2">
        <w:rPr>
          <w:rFonts w:cs="Arial"/>
          <w:color w:val="333232"/>
        </w:rPr>
        <w:t xml:space="preserve">Economíaunam, vol. 8, </w:t>
      </w:r>
      <w:r>
        <w:rPr>
          <w:rFonts w:cs="Arial"/>
          <w:color w:val="333232"/>
        </w:rPr>
        <w:t xml:space="preserve">núm. 22. </w:t>
      </w:r>
      <w:r w:rsidRPr="00605CA2">
        <w:rPr>
          <w:rFonts w:cs="Arial"/>
          <w:color w:val="333232"/>
        </w:rPr>
        <w:t>Universi</w:t>
      </w:r>
      <w:r>
        <w:rPr>
          <w:rFonts w:cs="Arial"/>
          <w:color w:val="333232"/>
        </w:rPr>
        <w:t xml:space="preserve">dad Nacional Autónoma de México, </w:t>
      </w:r>
      <w:r w:rsidRPr="00605CA2">
        <w:rPr>
          <w:rFonts w:cs="Arial"/>
          <w:color w:val="333232"/>
        </w:rPr>
        <w:t>Distrito Federal, México</w:t>
      </w:r>
      <w:r>
        <w:rPr>
          <w:rFonts w:cs="Arial"/>
          <w:color w:val="333232"/>
        </w:rPr>
        <w:t>.</w:t>
      </w:r>
    </w:p>
    <w:p w14:paraId="660450B2" w14:textId="77777777" w:rsidR="00023A53" w:rsidRPr="00FC11B2" w:rsidRDefault="00023A53" w:rsidP="00FC11B2">
      <w:pPr>
        <w:autoSpaceDE w:val="0"/>
        <w:autoSpaceDN w:val="0"/>
        <w:adjustRightInd w:val="0"/>
        <w:spacing w:before="240" w:after="0" w:line="240" w:lineRule="auto"/>
        <w:ind w:left="567" w:hanging="567"/>
        <w:jc w:val="both"/>
        <w:rPr>
          <w:color w:val="000000"/>
          <w:shd w:val="clear" w:color="auto" w:fill="FFFFFF"/>
          <w:lang w:val="en-US"/>
        </w:rPr>
      </w:pPr>
      <w:r w:rsidRPr="00FC11B2">
        <w:rPr>
          <w:rFonts w:cs="TimesNewRomanPSMT"/>
          <w:lang w:val="en-US"/>
        </w:rPr>
        <w:t>RANIS, Gustav; STEWART, Frances</w:t>
      </w:r>
      <w:r w:rsidR="00967844">
        <w:rPr>
          <w:rFonts w:cs="TimesNewRomanPSMT"/>
          <w:lang w:val="en-US"/>
        </w:rPr>
        <w:t xml:space="preserve">, y RAMIREZ, Alejandro (2000), </w:t>
      </w:r>
      <w:r w:rsidRPr="00967844">
        <w:rPr>
          <w:rFonts w:cs="TimesNewRomanPSMT"/>
          <w:i/>
          <w:lang w:val="en-US"/>
        </w:rPr>
        <w:t>Econom</w:t>
      </w:r>
      <w:r w:rsidR="00967844" w:rsidRPr="00967844">
        <w:rPr>
          <w:rFonts w:cs="TimesNewRomanPSMT"/>
          <w:i/>
          <w:lang w:val="en-US"/>
        </w:rPr>
        <w:t>ic Growth and Human Development</w:t>
      </w:r>
      <w:r w:rsidRPr="00FC11B2">
        <w:rPr>
          <w:rFonts w:cs="TimesNewRomanPSMT"/>
          <w:lang w:val="en-US"/>
        </w:rPr>
        <w:t xml:space="preserve">.  </w:t>
      </w:r>
      <w:r w:rsidRPr="00FC11B2">
        <w:rPr>
          <w:rFonts w:cs="TimesNewRomanPS-ItalicMT"/>
          <w:iCs/>
          <w:lang w:val="en-US"/>
        </w:rPr>
        <w:t>World Development</w:t>
      </w:r>
      <w:r w:rsidRPr="00FC11B2">
        <w:rPr>
          <w:rFonts w:cs="TimesNewRomanPS-ItalicMT"/>
          <w:i/>
          <w:iCs/>
          <w:lang w:val="en-US"/>
        </w:rPr>
        <w:t>.</w:t>
      </w:r>
    </w:p>
    <w:p w14:paraId="4E98B60C" w14:textId="77777777" w:rsidR="000C7B33" w:rsidRPr="00FC11B2" w:rsidRDefault="00261876" w:rsidP="00FC11B2">
      <w:pPr>
        <w:autoSpaceDE w:val="0"/>
        <w:autoSpaceDN w:val="0"/>
        <w:adjustRightInd w:val="0"/>
        <w:spacing w:before="240" w:after="0" w:line="240" w:lineRule="auto"/>
        <w:ind w:left="567" w:hanging="567"/>
        <w:jc w:val="both"/>
        <w:rPr>
          <w:rFonts w:cs="TimesNewRomanPSMT"/>
          <w:lang w:val="en-US"/>
        </w:rPr>
      </w:pPr>
      <w:r w:rsidRPr="00FC11B2">
        <w:rPr>
          <w:rFonts w:cs="TimesNewRomanPSMT"/>
          <w:lang w:val="en-US"/>
        </w:rPr>
        <w:t xml:space="preserve">RANIS, Gustav y STEWART, Frances (2002), </w:t>
      </w:r>
      <w:r w:rsidRPr="00FC11B2">
        <w:rPr>
          <w:rFonts w:cs="TimesNewRomanPSMT"/>
          <w:i/>
          <w:lang w:val="en-US"/>
        </w:rPr>
        <w:t>Economic growth and hum</w:t>
      </w:r>
      <w:r w:rsidR="00967844">
        <w:rPr>
          <w:rFonts w:cs="TimesNewRomanPSMT"/>
          <w:i/>
          <w:lang w:val="en-US"/>
        </w:rPr>
        <w:t>an development in Latin America</w:t>
      </w:r>
      <w:r w:rsidRPr="00FC11B2">
        <w:rPr>
          <w:rFonts w:cs="TimesNewRomanPSMT"/>
          <w:lang w:val="en-US"/>
        </w:rPr>
        <w:t xml:space="preserve">. </w:t>
      </w:r>
      <w:r w:rsidRPr="00FC11B2">
        <w:rPr>
          <w:rFonts w:cs="TimesNewRomanPS-ItalicMT-SC800"/>
          <w:iCs/>
          <w:lang w:val="en-US"/>
        </w:rPr>
        <w:t xml:space="preserve">Cepal </w:t>
      </w:r>
      <w:r w:rsidRPr="00FC11B2">
        <w:rPr>
          <w:rFonts w:cs="TimesNewRomanPS-ItalicMT"/>
          <w:iCs/>
          <w:lang w:val="en-US"/>
        </w:rPr>
        <w:t>Review</w:t>
      </w:r>
      <w:r w:rsidRPr="00FC11B2">
        <w:rPr>
          <w:rFonts w:cs="TimesNewRomanPSMT"/>
          <w:lang w:val="en-US"/>
        </w:rPr>
        <w:t>.</w:t>
      </w:r>
    </w:p>
    <w:p w14:paraId="538CCE17" w14:textId="77777777" w:rsidR="000C7B33" w:rsidRPr="00FC11B2" w:rsidRDefault="000C7B33" w:rsidP="00FC11B2">
      <w:pPr>
        <w:autoSpaceDE w:val="0"/>
        <w:autoSpaceDN w:val="0"/>
        <w:adjustRightInd w:val="0"/>
        <w:spacing w:before="240" w:after="0" w:line="240" w:lineRule="auto"/>
        <w:ind w:left="567" w:hanging="567"/>
        <w:jc w:val="both"/>
        <w:rPr>
          <w:rFonts w:cs="TimesNewRomanPSMT"/>
          <w:lang w:val="en-US"/>
        </w:rPr>
      </w:pPr>
      <w:r w:rsidRPr="00FC11B2">
        <w:rPr>
          <w:rFonts w:cs="TimesNewRomanPSMT"/>
          <w:lang w:val="en-US"/>
        </w:rPr>
        <w:t xml:space="preserve">RANIS, Gustav y STEWART, Frances (2007): </w:t>
      </w:r>
      <w:r w:rsidRPr="00FC11B2">
        <w:rPr>
          <w:rFonts w:cs="TimesNewRomanPSMT"/>
          <w:i/>
          <w:lang w:val="en-US"/>
        </w:rPr>
        <w:t>Dynamic Links between th</w:t>
      </w:r>
      <w:r w:rsidR="00967844">
        <w:rPr>
          <w:rFonts w:cs="TimesNewRomanPSMT"/>
          <w:i/>
          <w:lang w:val="en-US"/>
        </w:rPr>
        <w:t>e Economy and Human Development</w:t>
      </w:r>
      <w:r w:rsidRPr="00FC11B2">
        <w:rPr>
          <w:rFonts w:cs="TimesNewRomanPSMT"/>
          <w:lang w:val="en-US"/>
        </w:rPr>
        <w:t>.  En J. A. Ocampo, K. S. Jomo y K. Sarbuland (eds.),</w:t>
      </w:r>
      <w:r w:rsidRPr="00FC11B2">
        <w:rPr>
          <w:rFonts w:cs="TimesNewRomanPSMT"/>
          <w:i/>
          <w:lang w:val="en-US"/>
        </w:rPr>
        <w:t xml:space="preserve"> </w:t>
      </w:r>
      <w:r w:rsidRPr="00FC11B2">
        <w:rPr>
          <w:rFonts w:cs="TimesNewRomanPS-ItalicMT"/>
          <w:i/>
          <w:iCs/>
          <w:lang w:val="en-US"/>
        </w:rPr>
        <w:t>Policy Matters: Economic and</w:t>
      </w:r>
      <w:r w:rsidRPr="00FC11B2">
        <w:rPr>
          <w:rFonts w:cs="TimesNewRomanPSMT"/>
          <w:i/>
          <w:lang w:val="en-US"/>
        </w:rPr>
        <w:t xml:space="preserve"> </w:t>
      </w:r>
      <w:r w:rsidRPr="00FC11B2">
        <w:rPr>
          <w:rFonts w:cs="TimesNewRomanPS-ItalicMT"/>
          <w:i/>
          <w:iCs/>
          <w:lang w:val="en-US"/>
        </w:rPr>
        <w:t>Social Policies to Sustain Equitable Development</w:t>
      </w:r>
      <w:r w:rsidRPr="00FC11B2">
        <w:rPr>
          <w:rFonts w:cs="TimesNewRomanPSMT"/>
          <w:i/>
          <w:lang w:val="en-US"/>
        </w:rPr>
        <w:t>,</w:t>
      </w:r>
      <w:r w:rsidRPr="00FC11B2">
        <w:rPr>
          <w:rFonts w:cs="TimesNewRomanPSMT"/>
          <w:lang w:val="en-US"/>
        </w:rPr>
        <w:t xml:space="preserve"> London.</w:t>
      </w:r>
    </w:p>
    <w:p w14:paraId="5BCB1920" w14:textId="77777777" w:rsidR="0006032D" w:rsidRPr="00967844" w:rsidRDefault="00E71807" w:rsidP="00FC11B2">
      <w:pPr>
        <w:spacing w:before="240" w:line="240" w:lineRule="auto"/>
        <w:ind w:left="567" w:hanging="567"/>
        <w:jc w:val="both"/>
        <w:rPr>
          <w:color w:val="000000" w:themeColor="text1"/>
        </w:rPr>
      </w:pPr>
      <w:r w:rsidRPr="008B5F29">
        <w:t xml:space="preserve">SECADA, Pablo (2016): </w:t>
      </w:r>
      <w:r w:rsidRPr="008B5F29">
        <w:rPr>
          <w:i/>
        </w:rPr>
        <w:t xml:space="preserve">Entrevista </w:t>
      </w:r>
      <w:r w:rsidR="00787B2C" w:rsidRPr="008B5F29">
        <w:rPr>
          <w:i/>
        </w:rPr>
        <w:t xml:space="preserve">el 25 de abril </w:t>
      </w:r>
      <w:r w:rsidR="00967844">
        <w:rPr>
          <w:i/>
        </w:rPr>
        <w:t>en el Diario Gestión</w:t>
      </w:r>
      <w:r w:rsidRPr="008B5F29">
        <w:t xml:space="preserve">. Lima. Disponible en: </w:t>
      </w:r>
      <w:hyperlink r:id="rId12" w:history="1">
        <w:r w:rsidRPr="00967844">
          <w:rPr>
            <w:rStyle w:val="Hipervnculo"/>
            <w:color w:val="000000" w:themeColor="text1"/>
            <w:u w:val="none"/>
          </w:rPr>
          <w:t>http://gestion.pe/economia/que-cajamarca-sigue-siendo-region-mas-pobre-pais-2159276</w:t>
        </w:r>
      </w:hyperlink>
      <w:r w:rsidRPr="00967844">
        <w:rPr>
          <w:color w:val="000000" w:themeColor="text1"/>
        </w:rPr>
        <w:t>.</w:t>
      </w:r>
    </w:p>
    <w:p w14:paraId="198FD97D" w14:textId="77777777" w:rsidR="00451DE5" w:rsidRPr="00451DE5" w:rsidRDefault="00451DE5" w:rsidP="00FC11B2">
      <w:pPr>
        <w:autoSpaceDE w:val="0"/>
        <w:autoSpaceDN w:val="0"/>
        <w:adjustRightInd w:val="0"/>
        <w:spacing w:before="240" w:after="0" w:line="240" w:lineRule="auto"/>
        <w:ind w:left="567" w:hanging="567"/>
        <w:jc w:val="both"/>
        <w:rPr>
          <w:rFonts w:cs="TimesNewRomanPS-ItalicMT"/>
          <w:i/>
          <w:iCs/>
        </w:rPr>
      </w:pPr>
      <w:r w:rsidRPr="00451DE5">
        <w:rPr>
          <w:rFonts w:cs="TimesNewRomanPSMT"/>
        </w:rPr>
        <w:t>SEN</w:t>
      </w:r>
      <w:r>
        <w:rPr>
          <w:rFonts w:cs="TimesNewRomanPSMT"/>
        </w:rPr>
        <w:t xml:space="preserve">, Amartya (2001): </w:t>
      </w:r>
      <w:r w:rsidRPr="00451DE5">
        <w:rPr>
          <w:rFonts w:cs="TimesNewRomanPSMT"/>
          <w:i/>
        </w:rPr>
        <w:t xml:space="preserve">Las teorías del desarrollo en el siglo </w:t>
      </w:r>
      <w:r w:rsidR="00967844">
        <w:rPr>
          <w:rFonts w:cs="TimesNewRomanPSMT-SC800"/>
          <w:i/>
        </w:rPr>
        <w:t>xxi</w:t>
      </w:r>
      <w:r>
        <w:rPr>
          <w:rFonts w:cs="TimesNewRomanPSMT"/>
        </w:rPr>
        <w:t xml:space="preserve">. </w:t>
      </w:r>
      <w:r w:rsidRPr="00451DE5">
        <w:rPr>
          <w:rFonts w:cs="TimesNewRomanPSMT"/>
        </w:rPr>
        <w:t xml:space="preserve"> </w:t>
      </w:r>
      <w:r w:rsidRPr="00451DE5">
        <w:rPr>
          <w:rFonts w:cs="TimesNewRomanPS-ItalicMT"/>
          <w:iCs/>
        </w:rPr>
        <w:t>Leviatán: Revista de Hechos e Ideas</w:t>
      </w:r>
      <w:r>
        <w:rPr>
          <w:rFonts w:cs="TimesNewRomanPS-ItalicMT"/>
          <w:iCs/>
        </w:rPr>
        <w:t>.</w:t>
      </w:r>
    </w:p>
    <w:p w14:paraId="3E97435D" w14:textId="77777777" w:rsidR="009963A4" w:rsidRPr="00FC11B2" w:rsidRDefault="009963A4" w:rsidP="00FC11B2">
      <w:pPr>
        <w:autoSpaceDE w:val="0"/>
        <w:autoSpaceDN w:val="0"/>
        <w:adjustRightInd w:val="0"/>
        <w:spacing w:before="240" w:after="0" w:line="240" w:lineRule="auto"/>
        <w:ind w:left="567" w:hanging="567"/>
        <w:jc w:val="both"/>
        <w:rPr>
          <w:rFonts w:cs="TimesNewRomanPS-ItalicMT"/>
          <w:i/>
          <w:iCs/>
          <w:lang w:val="en-US"/>
        </w:rPr>
      </w:pPr>
      <w:r>
        <w:rPr>
          <w:rFonts w:cs="TimesNewRomanPSMT"/>
        </w:rPr>
        <w:t>SOTO RANGEL, Apolinar (2007)</w:t>
      </w:r>
      <w:r w:rsidR="006C53B1">
        <w:rPr>
          <w:rFonts w:cs="TimesNewRomanPSMT"/>
        </w:rPr>
        <w:t xml:space="preserve">: </w:t>
      </w:r>
      <w:r>
        <w:rPr>
          <w:rFonts w:cs="TimesNewRomanPSMT"/>
          <w:i/>
        </w:rPr>
        <w:t>Finanzas Públicas y Funciones del Estado</w:t>
      </w:r>
      <w:r>
        <w:rPr>
          <w:rFonts w:cs="TimesNewRomanPSMT"/>
        </w:rPr>
        <w:t>. Investigación  y Ciencia, vol. 15 ném. 37, pp 45-48.</w:t>
      </w:r>
      <w:r w:rsidRPr="00451DE5">
        <w:rPr>
          <w:rFonts w:cs="TimesNewRomanPSMT"/>
        </w:rPr>
        <w:t xml:space="preserve"> </w:t>
      </w:r>
      <w:r>
        <w:rPr>
          <w:rFonts w:cs="TimesNewRomanPSMT"/>
        </w:rPr>
        <w:t xml:space="preserve">Universidad Autónoma de Aguas Calientes. </w:t>
      </w:r>
      <w:r w:rsidRPr="00FC11B2">
        <w:rPr>
          <w:rFonts w:cs="TimesNewRomanPSMT"/>
          <w:lang w:val="en-US"/>
        </w:rPr>
        <w:t>Aguascalientes, México</w:t>
      </w:r>
      <w:r w:rsidRPr="00FC11B2">
        <w:rPr>
          <w:rFonts w:cs="TimesNewRomanPS-ItalicMT"/>
          <w:iCs/>
          <w:lang w:val="en-US"/>
        </w:rPr>
        <w:t>.</w:t>
      </w:r>
    </w:p>
    <w:p w14:paraId="4C000E0B" w14:textId="77777777" w:rsidR="00376555" w:rsidRPr="00376555" w:rsidRDefault="00967844" w:rsidP="00FC11B2">
      <w:pPr>
        <w:autoSpaceDE w:val="0"/>
        <w:autoSpaceDN w:val="0"/>
        <w:adjustRightInd w:val="0"/>
        <w:spacing w:before="240" w:after="0" w:line="240" w:lineRule="auto"/>
        <w:ind w:left="567" w:hanging="567"/>
        <w:jc w:val="both"/>
        <w:rPr>
          <w:rFonts w:eastAsia="Gotham-Book" w:cs="Gotham-BookItalic"/>
          <w:i/>
          <w:iCs/>
        </w:rPr>
      </w:pPr>
      <w:r>
        <w:rPr>
          <w:rFonts w:eastAsia="Gotham-Book" w:cs="Gotham-Book"/>
          <w:lang w:val="en-US"/>
        </w:rPr>
        <w:t xml:space="preserve">TIEBOUT, C. M. (1961):  </w:t>
      </w:r>
      <w:r w:rsidR="00376555" w:rsidRPr="00FC11B2">
        <w:rPr>
          <w:rFonts w:eastAsia="Gotham-Book" w:cs="Gotham-BookItalic"/>
          <w:i/>
          <w:iCs/>
          <w:lang w:val="en-US"/>
        </w:rPr>
        <w:t>An Economic Theory of Fiscal Decentralization in Public Finance:</w:t>
      </w:r>
      <w:r>
        <w:rPr>
          <w:rFonts w:eastAsia="Gotham-Book" w:cs="Gotham-BookItalic"/>
          <w:i/>
          <w:iCs/>
          <w:lang w:val="en-US"/>
        </w:rPr>
        <w:t xml:space="preserve"> Needs, Sources and Utilization</w:t>
      </w:r>
      <w:r w:rsidR="00376555" w:rsidRPr="00FC11B2">
        <w:rPr>
          <w:rFonts w:eastAsia="Gotham-Book" w:cs="Gotham-Book"/>
          <w:lang w:val="en-US"/>
        </w:rPr>
        <w:t xml:space="preserve">. </w:t>
      </w:r>
      <w:r w:rsidR="00376555" w:rsidRPr="00376555">
        <w:rPr>
          <w:rFonts w:eastAsia="Gotham-Book" w:cs="Gotham-Book"/>
        </w:rPr>
        <w:t>Princeton, Nueva Jersey: Princeton</w:t>
      </w:r>
      <w:r w:rsidR="00376555">
        <w:rPr>
          <w:rFonts w:eastAsia="Gotham-Book" w:cs="Gotham-BookItalic"/>
          <w:i/>
          <w:iCs/>
        </w:rPr>
        <w:t xml:space="preserve"> </w:t>
      </w:r>
      <w:r w:rsidR="00376555" w:rsidRPr="00376555">
        <w:rPr>
          <w:rFonts w:eastAsia="Gotham-Book" w:cs="Gotham-Book"/>
        </w:rPr>
        <w:t>University Press</w:t>
      </w:r>
      <w:r w:rsidR="00376555">
        <w:rPr>
          <w:rFonts w:eastAsia="Gotham-Book" w:cs="Gotham-Book"/>
        </w:rPr>
        <w:t>.</w:t>
      </w:r>
    </w:p>
    <w:p w14:paraId="39278BDF" w14:textId="77777777" w:rsidR="000F6839" w:rsidRDefault="00E71807" w:rsidP="00FC11B2">
      <w:pPr>
        <w:spacing w:before="240" w:line="240" w:lineRule="auto"/>
        <w:ind w:left="567" w:hanging="567"/>
        <w:jc w:val="both"/>
        <w:rPr>
          <w:rStyle w:val="Hipervnculo"/>
        </w:rPr>
      </w:pPr>
      <w:r w:rsidRPr="008B5F29">
        <w:t>VÁSQUEZ</w:t>
      </w:r>
      <w:r w:rsidR="00FF3A4C" w:rsidRPr="008B5F29">
        <w:t>, Aníbal</w:t>
      </w:r>
      <w:r w:rsidRPr="008B5F29">
        <w:t xml:space="preserve"> (2016): </w:t>
      </w:r>
      <w:r w:rsidRPr="008B5F29">
        <w:rPr>
          <w:i/>
        </w:rPr>
        <w:t xml:space="preserve">Entrevista </w:t>
      </w:r>
      <w:r w:rsidR="00787B2C" w:rsidRPr="008B5F29">
        <w:rPr>
          <w:i/>
        </w:rPr>
        <w:t xml:space="preserve">el 25 de abril </w:t>
      </w:r>
      <w:r w:rsidR="00967844">
        <w:rPr>
          <w:i/>
        </w:rPr>
        <w:t>en el Diario Gestión</w:t>
      </w:r>
      <w:r w:rsidRPr="008B5F29">
        <w:t xml:space="preserve">. Lima. Disponible en: </w:t>
      </w:r>
      <w:hyperlink r:id="rId13" w:history="1">
        <w:r w:rsidRPr="00967844">
          <w:rPr>
            <w:rStyle w:val="Hipervnculo"/>
            <w:color w:val="000000" w:themeColor="text1"/>
            <w:u w:val="none"/>
          </w:rPr>
          <w:t>http://gestion.pe/economia/que-cajamarca-sigue-siendo-region-mas-pobre-pais-2159276</w:t>
        </w:r>
      </w:hyperlink>
      <w:r w:rsidR="00C10574" w:rsidRPr="00967844">
        <w:rPr>
          <w:rStyle w:val="Hipervnculo"/>
          <w:color w:val="000000" w:themeColor="text1"/>
          <w:u w:val="none"/>
        </w:rPr>
        <w:t>.</w:t>
      </w:r>
    </w:p>
    <w:p w14:paraId="3D2DB59D" w14:textId="77777777" w:rsidR="009963A4" w:rsidRPr="00C401A0" w:rsidRDefault="000F6839" w:rsidP="00FC11B2">
      <w:pPr>
        <w:spacing w:before="240" w:line="240" w:lineRule="auto"/>
        <w:ind w:left="567" w:hanging="567"/>
        <w:jc w:val="both"/>
        <w:rPr>
          <w:lang w:val="en-US"/>
        </w:rPr>
      </w:pPr>
      <w:r>
        <w:lastRenderedPageBreak/>
        <w:t>VEGA CASTRO</w:t>
      </w:r>
      <w:r w:rsidRPr="008B5F29">
        <w:t>,</w:t>
      </w:r>
      <w:r>
        <w:t xml:space="preserve"> Jorge  (2007</w:t>
      </w:r>
      <w:r w:rsidRPr="008B5F29">
        <w:t xml:space="preserve">): </w:t>
      </w:r>
      <w:r>
        <w:rPr>
          <w:i/>
        </w:rPr>
        <w:t>Análisis del proceso de desc</w:t>
      </w:r>
      <w:r w:rsidR="00967844">
        <w:rPr>
          <w:i/>
        </w:rPr>
        <w:t>entralización fiscal en el Perú</w:t>
      </w:r>
      <w:r>
        <w:rPr>
          <w:i/>
        </w:rPr>
        <w:t xml:space="preserve">. </w:t>
      </w:r>
      <w:r w:rsidRPr="00C401A0">
        <w:rPr>
          <w:lang w:val="en-US"/>
        </w:rPr>
        <w:t>Centro de</w:t>
      </w:r>
      <w:r w:rsidRPr="00C401A0">
        <w:rPr>
          <w:i/>
          <w:lang w:val="en-US"/>
        </w:rPr>
        <w:t xml:space="preserve">  </w:t>
      </w:r>
      <w:r w:rsidR="007255C5" w:rsidRPr="00C401A0">
        <w:rPr>
          <w:lang w:val="en-US"/>
        </w:rPr>
        <w:t>Investigació</w:t>
      </w:r>
      <w:r w:rsidRPr="00C401A0">
        <w:rPr>
          <w:lang w:val="en-US"/>
        </w:rPr>
        <w:t>n Económica y Social. 2007. Lima</w:t>
      </w:r>
      <w:r w:rsidR="00D5063F" w:rsidRPr="00C401A0">
        <w:rPr>
          <w:lang w:val="en-US"/>
        </w:rPr>
        <w:t>.</w:t>
      </w:r>
    </w:p>
    <w:p w14:paraId="1D9D2C71" w14:textId="77777777" w:rsidR="00D5063F" w:rsidRPr="00FC11B2" w:rsidRDefault="00D5063F" w:rsidP="00FC11B2">
      <w:pPr>
        <w:autoSpaceDE w:val="0"/>
        <w:autoSpaceDN w:val="0"/>
        <w:adjustRightInd w:val="0"/>
        <w:spacing w:before="240" w:after="0" w:line="240" w:lineRule="auto"/>
        <w:ind w:left="567" w:hanging="567"/>
        <w:jc w:val="both"/>
        <w:rPr>
          <w:rStyle w:val="Hipervnculo"/>
          <w:rFonts w:eastAsia="Gotham-Book" w:cs="Gotham-Book"/>
          <w:i/>
          <w:color w:val="auto"/>
          <w:u w:val="none"/>
          <w:lang w:val="en-US"/>
        </w:rPr>
      </w:pPr>
      <w:r w:rsidRPr="00FC11B2">
        <w:rPr>
          <w:rFonts w:eastAsia="Gotham-Book" w:cs="Gotham-Book"/>
          <w:lang w:val="en-US"/>
        </w:rPr>
        <w:t xml:space="preserve">WEINGAST, B. (2009): </w:t>
      </w:r>
      <w:r w:rsidRPr="00FC11B2">
        <w:rPr>
          <w:rFonts w:eastAsia="Gotham-Book" w:cs="Gotham-Book"/>
          <w:i/>
          <w:lang w:val="en-US"/>
        </w:rPr>
        <w:t>Second Generation Fiscal Federalism: The Implications of Fiscal</w:t>
      </w:r>
      <w:r w:rsidR="00F14887" w:rsidRPr="00FC11B2">
        <w:rPr>
          <w:rFonts w:eastAsia="Gotham-Book" w:cs="Gotham-Book"/>
          <w:i/>
          <w:lang w:val="en-US"/>
        </w:rPr>
        <w:t xml:space="preserve"> </w:t>
      </w:r>
      <w:r w:rsidR="00967844">
        <w:rPr>
          <w:rFonts w:eastAsia="Gotham-Book" w:cs="Gotham-Book"/>
          <w:i/>
          <w:lang w:val="en-US"/>
        </w:rPr>
        <w:t xml:space="preserve">Incentives. </w:t>
      </w:r>
      <w:r w:rsidRPr="00FC11B2">
        <w:rPr>
          <w:rFonts w:eastAsia="Gotham-Book" w:cs="Gotham-BookItalic"/>
          <w:iCs/>
          <w:lang w:val="en-US"/>
        </w:rPr>
        <w:t xml:space="preserve">Journal of Urban Economics </w:t>
      </w:r>
      <w:r w:rsidRPr="00FC11B2">
        <w:rPr>
          <w:rFonts w:eastAsia="Gotham-Book" w:cs="Gotham-Book"/>
          <w:lang w:val="en-US"/>
        </w:rPr>
        <w:t>65(3): 279–93.</w:t>
      </w:r>
    </w:p>
    <w:p w14:paraId="31BEADD0" w14:textId="77777777" w:rsidR="00C10574" w:rsidRPr="006C1C5C" w:rsidRDefault="009E2E38" w:rsidP="00FC11B2">
      <w:pPr>
        <w:autoSpaceDE w:val="0"/>
        <w:autoSpaceDN w:val="0"/>
        <w:adjustRightInd w:val="0"/>
        <w:spacing w:before="240" w:after="0" w:line="240" w:lineRule="auto"/>
        <w:ind w:left="567" w:hanging="567"/>
        <w:jc w:val="both"/>
        <w:rPr>
          <w:rStyle w:val="Hipervnculo"/>
          <w:rFonts w:cs="TimesNewRomanPSMT"/>
          <w:color w:val="auto"/>
          <w:u w:val="none"/>
        </w:rPr>
      </w:pPr>
      <w:r w:rsidRPr="00FC11B2">
        <w:rPr>
          <w:rFonts w:cs="TimesNewRomanPSMT"/>
          <w:lang w:val="en-US"/>
        </w:rPr>
        <w:t>XU</w:t>
      </w:r>
      <w:r w:rsidR="00C10574" w:rsidRPr="00FC11B2">
        <w:rPr>
          <w:rFonts w:cs="TimesNewRomanPSMT"/>
          <w:lang w:val="en-US"/>
        </w:rPr>
        <w:t xml:space="preserve">, Ke; </w:t>
      </w:r>
      <w:r w:rsidRPr="00FC11B2">
        <w:rPr>
          <w:rFonts w:cs="TimesNewRomanPSMT"/>
          <w:lang w:val="en-US"/>
        </w:rPr>
        <w:t>EVANS</w:t>
      </w:r>
      <w:r w:rsidR="00C10574" w:rsidRPr="00FC11B2">
        <w:rPr>
          <w:rFonts w:cs="TimesNewRomanPSMT"/>
          <w:lang w:val="en-US"/>
        </w:rPr>
        <w:t xml:space="preserve">, David; </w:t>
      </w:r>
      <w:r w:rsidRPr="00FC11B2">
        <w:rPr>
          <w:rFonts w:cs="TimesNewRomanPSMT"/>
          <w:lang w:val="en-US"/>
        </w:rPr>
        <w:t>KAWABATA</w:t>
      </w:r>
      <w:r w:rsidR="00C10574" w:rsidRPr="00FC11B2">
        <w:rPr>
          <w:rFonts w:cs="TimesNewRomanPSMT"/>
          <w:lang w:val="en-US"/>
        </w:rPr>
        <w:t xml:space="preserve">, Kei; </w:t>
      </w:r>
      <w:r w:rsidRPr="00FC11B2">
        <w:rPr>
          <w:rFonts w:cs="TimesNewRomanPSMT"/>
          <w:lang w:val="en-US"/>
        </w:rPr>
        <w:t>ZERAMDINI</w:t>
      </w:r>
      <w:r w:rsidR="00C10574" w:rsidRPr="00FC11B2">
        <w:rPr>
          <w:rFonts w:cs="TimesNewRomanPSMT"/>
          <w:lang w:val="en-US"/>
        </w:rPr>
        <w:t xml:space="preserve">, Riadh; </w:t>
      </w:r>
      <w:r w:rsidRPr="00FC11B2">
        <w:rPr>
          <w:rFonts w:cs="TimesNewRomanPSMT"/>
          <w:lang w:val="en-US"/>
        </w:rPr>
        <w:t>KLAVUS</w:t>
      </w:r>
      <w:r w:rsidR="00C10574" w:rsidRPr="00FC11B2">
        <w:rPr>
          <w:rFonts w:cs="TimesNewRomanPSMT"/>
          <w:lang w:val="en-US"/>
        </w:rPr>
        <w:t xml:space="preserve">, Jan, </w:t>
      </w:r>
      <w:r w:rsidRPr="00FC11B2">
        <w:rPr>
          <w:rFonts w:cs="TimesNewRomanPSMT"/>
          <w:lang w:val="en-US"/>
        </w:rPr>
        <w:t xml:space="preserve">Y MURRAY, </w:t>
      </w:r>
      <w:r w:rsidR="006C1C5C" w:rsidRPr="00FC11B2">
        <w:rPr>
          <w:rFonts w:cs="TimesNewRomanPSMT"/>
          <w:lang w:val="en-US"/>
        </w:rPr>
        <w:t xml:space="preserve">Christopher </w:t>
      </w:r>
      <w:r w:rsidR="00C10574" w:rsidRPr="00FC11B2">
        <w:rPr>
          <w:rFonts w:cs="TimesNewRomanPSMT"/>
          <w:lang w:val="en-US"/>
        </w:rPr>
        <w:t>(2003)</w:t>
      </w:r>
      <w:r w:rsidRPr="00FC11B2">
        <w:rPr>
          <w:rFonts w:cs="TimesNewRomanPSMT"/>
          <w:lang w:val="en-US"/>
        </w:rPr>
        <w:t xml:space="preserve">: </w:t>
      </w:r>
      <w:r w:rsidR="00C10574" w:rsidRPr="00FC11B2">
        <w:rPr>
          <w:rFonts w:cs="TimesNewRomanPSMT"/>
          <w:i/>
          <w:lang w:val="en-US"/>
        </w:rPr>
        <w:t>Household catastrophic health expendi</w:t>
      </w:r>
      <w:r w:rsidRPr="00FC11B2">
        <w:rPr>
          <w:rFonts w:cs="TimesNewRomanPSMT"/>
          <w:i/>
          <w:lang w:val="en-US"/>
        </w:rPr>
        <w:t xml:space="preserve">ture: a multicountry </w:t>
      </w:r>
      <w:r w:rsidR="00967844">
        <w:rPr>
          <w:rFonts w:cs="TimesNewRomanPSMT"/>
          <w:i/>
          <w:lang w:val="en-US"/>
        </w:rPr>
        <w:t>analisis</w:t>
      </w:r>
      <w:r w:rsidRPr="00FC11B2">
        <w:rPr>
          <w:rFonts w:cs="TimesNewRomanPSMT"/>
          <w:lang w:val="en-US"/>
        </w:rPr>
        <w:t xml:space="preserve">. </w:t>
      </w:r>
      <w:r w:rsidR="00C10574" w:rsidRPr="00FC11B2">
        <w:rPr>
          <w:rFonts w:cs="TimesNewRomanPSMT"/>
          <w:lang w:val="en-US"/>
        </w:rPr>
        <w:t xml:space="preserve"> </w:t>
      </w:r>
      <w:r w:rsidR="00C10574" w:rsidRPr="006C1C5C">
        <w:rPr>
          <w:rFonts w:cs="TimesNewRomanPS-ItalicMT"/>
          <w:iCs/>
        </w:rPr>
        <w:t>The Lancet</w:t>
      </w:r>
      <w:r w:rsidRPr="006C1C5C">
        <w:rPr>
          <w:rFonts w:cs="TimesNewRomanPSMT"/>
        </w:rPr>
        <w:t>.</w:t>
      </w:r>
    </w:p>
    <w:p w14:paraId="7B1ED854" w14:textId="77777777" w:rsidR="00787B2C" w:rsidRPr="0006032D" w:rsidRDefault="00787B2C" w:rsidP="00FC11B2">
      <w:pPr>
        <w:spacing w:before="240" w:line="240" w:lineRule="auto"/>
        <w:jc w:val="both"/>
      </w:pPr>
    </w:p>
    <w:sectPr w:rsidR="00787B2C" w:rsidRPr="0006032D" w:rsidSect="00196BDA">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D268" w14:textId="77777777" w:rsidR="00406AC2" w:rsidRDefault="00406AC2" w:rsidP="00A91AFB">
      <w:pPr>
        <w:spacing w:after="0" w:line="240" w:lineRule="auto"/>
      </w:pPr>
      <w:r>
        <w:separator/>
      </w:r>
    </w:p>
  </w:endnote>
  <w:endnote w:type="continuationSeparator" w:id="0">
    <w:p w14:paraId="7008A485" w14:textId="77777777" w:rsidR="00406AC2" w:rsidRDefault="00406AC2" w:rsidP="00A9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SC800">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BloggerSans-LightItalic">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AkzidenzGroteskBE-Regular">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otham-Book">
    <w:altName w:val="MS Mincho"/>
    <w:panose1 w:val="00000000000000000000"/>
    <w:charset w:val="80"/>
    <w:family w:val="auto"/>
    <w:notTrueType/>
    <w:pitch w:val="default"/>
    <w:sig w:usb0="00000001" w:usb1="08070000" w:usb2="00000010" w:usb3="00000000" w:csb0="00020000" w:csb1="00000000"/>
  </w:font>
  <w:font w:name="Gotham-BookItalic">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TimesNewRomanPS-ItalicMT-SC8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69396"/>
      <w:docPartObj>
        <w:docPartGallery w:val="Page Numbers (Bottom of Page)"/>
        <w:docPartUnique/>
      </w:docPartObj>
    </w:sdtPr>
    <w:sdtEndPr/>
    <w:sdtContent>
      <w:p w14:paraId="0F4FE4E5" w14:textId="77777777" w:rsidR="00D06683" w:rsidRDefault="00D06683">
        <w:pPr>
          <w:pStyle w:val="Piedepgina"/>
          <w:jc w:val="center"/>
        </w:pPr>
        <w:r>
          <w:fldChar w:fldCharType="begin"/>
        </w:r>
        <w:r>
          <w:instrText>PAGE   \* MERGEFORMAT</w:instrText>
        </w:r>
        <w:r>
          <w:fldChar w:fldCharType="separate"/>
        </w:r>
        <w:r w:rsidR="00893A29" w:rsidRPr="00893A29">
          <w:rPr>
            <w:noProof/>
            <w:lang w:val="es-ES"/>
          </w:rPr>
          <w:t>16</w:t>
        </w:r>
        <w:r>
          <w:fldChar w:fldCharType="end"/>
        </w:r>
      </w:p>
    </w:sdtContent>
  </w:sdt>
  <w:p w14:paraId="070CF0B9" w14:textId="77777777" w:rsidR="00A91AFB" w:rsidRDefault="00A91AF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AC1C" w14:textId="77777777" w:rsidR="00406AC2" w:rsidRDefault="00406AC2" w:rsidP="00A91AFB">
      <w:pPr>
        <w:spacing w:after="0" w:line="240" w:lineRule="auto"/>
      </w:pPr>
      <w:r>
        <w:separator/>
      </w:r>
    </w:p>
  </w:footnote>
  <w:footnote w:type="continuationSeparator" w:id="0">
    <w:p w14:paraId="3B5EC9D8" w14:textId="77777777" w:rsidR="00406AC2" w:rsidRDefault="00406AC2" w:rsidP="00A91A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9A68" w14:textId="77777777" w:rsidR="00A91AFB" w:rsidRDefault="00A91AFB">
    <w:pPr>
      <w:pStyle w:val="Encabezado"/>
      <w:jc w:val="right"/>
    </w:pPr>
  </w:p>
  <w:p w14:paraId="45F351BC" w14:textId="77777777" w:rsidR="00A91AFB" w:rsidRDefault="00A91AF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76D67"/>
    <w:multiLevelType w:val="multilevel"/>
    <w:tmpl w:val="AFAC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E7585"/>
    <w:multiLevelType w:val="hybridMultilevel"/>
    <w:tmpl w:val="834692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D0"/>
    <w:rsid w:val="0000156C"/>
    <w:rsid w:val="0000277D"/>
    <w:rsid w:val="00002B2E"/>
    <w:rsid w:val="00002D88"/>
    <w:rsid w:val="00003908"/>
    <w:rsid w:val="00004DB6"/>
    <w:rsid w:val="00004E34"/>
    <w:rsid w:val="00005A03"/>
    <w:rsid w:val="00007256"/>
    <w:rsid w:val="00007D67"/>
    <w:rsid w:val="00007F40"/>
    <w:rsid w:val="00007F62"/>
    <w:rsid w:val="00010DD4"/>
    <w:rsid w:val="00012CA7"/>
    <w:rsid w:val="000153DC"/>
    <w:rsid w:val="000175E1"/>
    <w:rsid w:val="00017E1D"/>
    <w:rsid w:val="00021621"/>
    <w:rsid w:val="00021E88"/>
    <w:rsid w:val="0002247F"/>
    <w:rsid w:val="00022D69"/>
    <w:rsid w:val="00022ED3"/>
    <w:rsid w:val="00023A53"/>
    <w:rsid w:val="000262E1"/>
    <w:rsid w:val="00027BC8"/>
    <w:rsid w:val="00030253"/>
    <w:rsid w:val="00031BB2"/>
    <w:rsid w:val="000336C7"/>
    <w:rsid w:val="00034C64"/>
    <w:rsid w:val="000365F9"/>
    <w:rsid w:val="00036E37"/>
    <w:rsid w:val="0003775B"/>
    <w:rsid w:val="00040BFB"/>
    <w:rsid w:val="0004151C"/>
    <w:rsid w:val="00042ABE"/>
    <w:rsid w:val="000448B8"/>
    <w:rsid w:val="00047893"/>
    <w:rsid w:val="00050044"/>
    <w:rsid w:val="00050B4A"/>
    <w:rsid w:val="00050DCE"/>
    <w:rsid w:val="000510EE"/>
    <w:rsid w:val="0005356B"/>
    <w:rsid w:val="00056A50"/>
    <w:rsid w:val="0006032D"/>
    <w:rsid w:val="0006044B"/>
    <w:rsid w:val="000607DD"/>
    <w:rsid w:val="00060EFE"/>
    <w:rsid w:val="00062D3E"/>
    <w:rsid w:val="000638DF"/>
    <w:rsid w:val="00065E91"/>
    <w:rsid w:val="00067D03"/>
    <w:rsid w:val="00070464"/>
    <w:rsid w:val="00070C18"/>
    <w:rsid w:val="000711FF"/>
    <w:rsid w:val="00071D4B"/>
    <w:rsid w:val="000745B1"/>
    <w:rsid w:val="00074D11"/>
    <w:rsid w:val="0007565E"/>
    <w:rsid w:val="000756EF"/>
    <w:rsid w:val="00075954"/>
    <w:rsid w:val="00075DFC"/>
    <w:rsid w:val="000805E1"/>
    <w:rsid w:val="000810B2"/>
    <w:rsid w:val="00082043"/>
    <w:rsid w:val="000827B2"/>
    <w:rsid w:val="00084A5F"/>
    <w:rsid w:val="00085E65"/>
    <w:rsid w:val="000866A7"/>
    <w:rsid w:val="00087513"/>
    <w:rsid w:val="00087D1E"/>
    <w:rsid w:val="0009054F"/>
    <w:rsid w:val="000906F8"/>
    <w:rsid w:val="00090FB2"/>
    <w:rsid w:val="00091629"/>
    <w:rsid w:val="0009397D"/>
    <w:rsid w:val="0009514B"/>
    <w:rsid w:val="00095C3C"/>
    <w:rsid w:val="0009613C"/>
    <w:rsid w:val="00096BD7"/>
    <w:rsid w:val="00097C56"/>
    <w:rsid w:val="000A42B4"/>
    <w:rsid w:val="000A449B"/>
    <w:rsid w:val="000A54BA"/>
    <w:rsid w:val="000A6ACB"/>
    <w:rsid w:val="000B024E"/>
    <w:rsid w:val="000B2721"/>
    <w:rsid w:val="000B2CE6"/>
    <w:rsid w:val="000B47B4"/>
    <w:rsid w:val="000C0259"/>
    <w:rsid w:val="000C0CC2"/>
    <w:rsid w:val="000C47F1"/>
    <w:rsid w:val="000C4E85"/>
    <w:rsid w:val="000C55AC"/>
    <w:rsid w:val="000C7B33"/>
    <w:rsid w:val="000D1292"/>
    <w:rsid w:val="000D280C"/>
    <w:rsid w:val="000D3CF3"/>
    <w:rsid w:val="000D4BEE"/>
    <w:rsid w:val="000D52DC"/>
    <w:rsid w:val="000D6F5F"/>
    <w:rsid w:val="000E1955"/>
    <w:rsid w:val="000E26C0"/>
    <w:rsid w:val="000E2F14"/>
    <w:rsid w:val="000E364F"/>
    <w:rsid w:val="000E39DC"/>
    <w:rsid w:val="000E4498"/>
    <w:rsid w:val="000E6686"/>
    <w:rsid w:val="000E7668"/>
    <w:rsid w:val="000F21FC"/>
    <w:rsid w:val="000F6839"/>
    <w:rsid w:val="000F6B50"/>
    <w:rsid w:val="001023F4"/>
    <w:rsid w:val="00102F0D"/>
    <w:rsid w:val="00103214"/>
    <w:rsid w:val="00103D2A"/>
    <w:rsid w:val="00105BD5"/>
    <w:rsid w:val="00107CB2"/>
    <w:rsid w:val="00110A05"/>
    <w:rsid w:val="00111749"/>
    <w:rsid w:val="00112161"/>
    <w:rsid w:val="00112A9D"/>
    <w:rsid w:val="00115683"/>
    <w:rsid w:val="001167C1"/>
    <w:rsid w:val="00117962"/>
    <w:rsid w:val="00117EB9"/>
    <w:rsid w:val="0012054F"/>
    <w:rsid w:val="00120605"/>
    <w:rsid w:val="00120693"/>
    <w:rsid w:val="00121015"/>
    <w:rsid w:val="00121095"/>
    <w:rsid w:val="00123D49"/>
    <w:rsid w:val="0012568F"/>
    <w:rsid w:val="00125E7F"/>
    <w:rsid w:val="0012601C"/>
    <w:rsid w:val="001261E6"/>
    <w:rsid w:val="00130060"/>
    <w:rsid w:val="001313BF"/>
    <w:rsid w:val="00131D90"/>
    <w:rsid w:val="0013386A"/>
    <w:rsid w:val="00133A21"/>
    <w:rsid w:val="00133EF1"/>
    <w:rsid w:val="001349C7"/>
    <w:rsid w:val="00135157"/>
    <w:rsid w:val="00135807"/>
    <w:rsid w:val="0013702B"/>
    <w:rsid w:val="001374E2"/>
    <w:rsid w:val="00140C8F"/>
    <w:rsid w:val="00142E40"/>
    <w:rsid w:val="00143001"/>
    <w:rsid w:val="00143E39"/>
    <w:rsid w:val="001456DF"/>
    <w:rsid w:val="001460B4"/>
    <w:rsid w:val="001463E5"/>
    <w:rsid w:val="00146A48"/>
    <w:rsid w:val="00146C7A"/>
    <w:rsid w:val="001475AD"/>
    <w:rsid w:val="0015065E"/>
    <w:rsid w:val="00151721"/>
    <w:rsid w:val="00151E25"/>
    <w:rsid w:val="00151F13"/>
    <w:rsid w:val="0015292D"/>
    <w:rsid w:val="00153EE7"/>
    <w:rsid w:val="00153FDE"/>
    <w:rsid w:val="001553D7"/>
    <w:rsid w:val="00155A47"/>
    <w:rsid w:val="00155E19"/>
    <w:rsid w:val="00156ABA"/>
    <w:rsid w:val="0015724D"/>
    <w:rsid w:val="00157552"/>
    <w:rsid w:val="0016067B"/>
    <w:rsid w:val="00160B31"/>
    <w:rsid w:val="001619CF"/>
    <w:rsid w:val="00165F7F"/>
    <w:rsid w:val="00165FC9"/>
    <w:rsid w:val="00167695"/>
    <w:rsid w:val="00170980"/>
    <w:rsid w:val="00170FF4"/>
    <w:rsid w:val="001747B5"/>
    <w:rsid w:val="001748D9"/>
    <w:rsid w:val="00175404"/>
    <w:rsid w:val="001756BC"/>
    <w:rsid w:val="00175E2B"/>
    <w:rsid w:val="00176AD5"/>
    <w:rsid w:val="00180213"/>
    <w:rsid w:val="00184156"/>
    <w:rsid w:val="001903CD"/>
    <w:rsid w:val="001911EF"/>
    <w:rsid w:val="0019337B"/>
    <w:rsid w:val="001939B2"/>
    <w:rsid w:val="00193ABB"/>
    <w:rsid w:val="00194546"/>
    <w:rsid w:val="00194B10"/>
    <w:rsid w:val="00194C6F"/>
    <w:rsid w:val="00196BDA"/>
    <w:rsid w:val="0019727D"/>
    <w:rsid w:val="001A1F18"/>
    <w:rsid w:val="001A2222"/>
    <w:rsid w:val="001A4234"/>
    <w:rsid w:val="001A5FF5"/>
    <w:rsid w:val="001A7901"/>
    <w:rsid w:val="001B0A80"/>
    <w:rsid w:val="001B33A0"/>
    <w:rsid w:val="001B36C4"/>
    <w:rsid w:val="001B3A87"/>
    <w:rsid w:val="001B5B0F"/>
    <w:rsid w:val="001B6578"/>
    <w:rsid w:val="001B6EDE"/>
    <w:rsid w:val="001B6F45"/>
    <w:rsid w:val="001C09EF"/>
    <w:rsid w:val="001C0F4D"/>
    <w:rsid w:val="001C150F"/>
    <w:rsid w:val="001C3353"/>
    <w:rsid w:val="001C33A3"/>
    <w:rsid w:val="001C4F5A"/>
    <w:rsid w:val="001D0F4A"/>
    <w:rsid w:val="001D0F8D"/>
    <w:rsid w:val="001D19FB"/>
    <w:rsid w:val="001D29E8"/>
    <w:rsid w:val="001D2EE1"/>
    <w:rsid w:val="001D4367"/>
    <w:rsid w:val="001D4EA2"/>
    <w:rsid w:val="001D59D5"/>
    <w:rsid w:val="001D79A2"/>
    <w:rsid w:val="001D7B03"/>
    <w:rsid w:val="001E1A27"/>
    <w:rsid w:val="001E33E0"/>
    <w:rsid w:val="001E5099"/>
    <w:rsid w:val="001E5339"/>
    <w:rsid w:val="001E5764"/>
    <w:rsid w:val="001E74B7"/>
    <w:rsid w:val="001F3A73"/>
    <w:rsid w:val="001F3FDA"/>
    <w:rsid w:val="001F5426"/>
    <w:rsid w:val="00200708"/>
    <w:rsid w:val="002011BA"/>
    <w:rsid w:val="002011C1"/>
    <w:rsid w:val="00201B03"/>
    <w:rsid w:val="002026A4"/>
    <w:rsid w:val="00202B50"/>
    <w:rsid w:val="0020404E"/>
    <w:rsid w:val="00204BDF"/>
    <w:rsid w:val="00204CB1"/>
    <w:rsid w:val="0020581A"/>
    <w:rsid w:val="00206D48"/>
    <w:rsid w:val="002075F5"/>
    <w:rsid w:val="002076B0"/>
    <w:rsid w:val="00207BCC"/>
    <w:rsid w:val="00210524"/>
    <w:rsid w:val="00211585"/>
    <w:rsid w:val="002120F7"/>
    <w:rsid w:val="002131E6"/>
    <w:rsid w:val="002133F9"/>
    <w:rsid w:val="002135CC"/>
    <w:rsid w:val="0021396C"/>
    <w:rsid w:val="002139A2"/>
    <w:rsid w:val="00214331"/>
    <w:rsid w:val="002149CF"/>
    <w:rsid w:val="002150E0"/>
    <w:rsid w:val="002151CF"/>
    <w:rsid w:val="00215D09"/>
    <w:rsid w:val="002168AF"/>
    <w:rsid w:val="00217465"/>
    <w:rsid w:val="0022066B"/>
    <w:rsid w:val="002207E8"/>
    <w:rsid w:val="00222DE1"/>
    <w:rsid w:val="00222E54"/>
    <w:rsid w:val="0022564A"/>
    <w:rsid w:val="00230140"/>
    <w:rsid w:val="00230C31"/>
    <w:rsid w:val="00232E80"/>
    <w:rsid w:val="002344FD"/>
    <w:rsid w:val="00234A73"/>
    <w:rsid w:val="00234BF5"/>
    <w:rsid w:val="00235C6C"/>
    <w:rsid w:val="00237975"/>
    <w:rsid w:val="00241772"/>
    <w:rsid w:val="00245217"/>
    <w:rsid w:val="0025091F"/>
    <w:rsid w:val="0025092E"/>
    <w:rsid w:val="002523F6"/>
    <w:rsid w:val="0025336E"/>
    <w:rsid w:val="00253994"/>
    <w:rsid w:val="00256308"/>
    <w:rsid w:val="00257565"/>
    <w:rsid w:val="00257F26"/>
    <w:rsid w:val="00260410"/>
    <w:rsid w:val="00261302"/>
    <w:rsid w:val="00261876"/>
    <w:rsid w:val="00262AA8"/>
    <w:rsid w:val="002637F3"/>
    <w:rsid w:val="00263992"/>
    <w:rsid w:val="00263B4E"/>
    <w:rsid w:val="00265CD3"/>
    <w:rsid w:val="002660FB"/>
    <w:rsid w:val="002675E2"/>
    <w:rsid w:val="002701FF"/>
    <w:rsid w:val="00273F41"/>
    <w:rsid w:val="00275D4A"/>
    <w:rsid w:val="002762A7"/>
    <w:rsid w:val="00276A4D"/>
    <w:rsid w:val="002776AB"/>
    <w:rsid w:val="002814B3"/>
    <w:rsid w:val="0028176C"/>
    <w:rsid w:val="00281E0A"/>
    <w:rsid w:val="00282F27"/>
    <w:rsid w:val="00284D69"/>
    <w:rsid w:val="0028563E"/>
    <w:rsid w:val="00286DDC"/>
    <w:rsid w:val="00290390"/>
    <w:rsid w:val="002927C2"/>
    <w:rsid w:val="00292D85"/>
    <w:rsid w:val="00293403"/>
    <w:rsid w:val="00293DFC"/>
    <w:rsid w:val="002945D8"/>
    <w:rsid w:val="00294801"/>
    <w:rsid w:val="00294B5C"/>
    <w:rsid w:val="00294CE3"/>
    <w:rsid w:val="00297741"/>
    <w:rsid w:val="00297D61"/>
    <w:rsid w:val="002A02E7"/>
    <w:rsid w:val="002A04A6"/>
    <w:rsid w:val="002A329C"/>
    <w:rsid w:val="002A4D4D"/>
    <w:rsid w:val="002A6023"/>
    <w:rsid w:val="002A6304"/>
    <w:rsid w:val="002A7E16"/>
    <w:rsid w:val="002B7B06"/>
    <w:rsid w:val="002C1EA0"/>
    <w:rsid w:val="002C36DC"/>
    <w:rsid w:val="002C3CCA"/>
    <w:rsid w:val="002C60D1"/>
    <w:rsid w:val="002C63AD"/>
    <w:rsid w:val="002C6D35"/>
    <w:rsid w:val="002C750C"/>
    <w:rsid w:val="002C7CE2"/>
    <w:rsid w:val="002D09B2"/>
    <w:rsid w:val="002D1A8A"/>
    <w:rsid w:val="002D1CBB"/>
    <w:rsid w:val="002D3562"/>
    <w:rsid w:val="002D3ABD"/>
    <w:rsid w:val="002D44CF"/>
    <w:rsid w:val="002D4F5A"/>
    <w:rsid w:val="002D5562"/>
    <w:rsid w:val="002D57E4"/>
    <w:rsid w:val="002D7FBA"/>
    <w:rsid w:val="002E01B3"/>
    <w:rsid w:val="002E0DEF"/>
    <w:rsid w:val="002E1437"/>
    <w:rsid w:val="002E1ED5"/>
    <w:rsid w:val="002E2E9E"/>
    <w:rsid w:val="002E3686"/>
    <w:rsid w:val="002E4BB8"/>
    <w:rsid w:val="002E64C8"/>
    <w:rsid w:val="002E7521"/>
    <w:rsid w:val="002F3599"/>
    <w:rsid w:val="002F441D"/>
    <w:rsid w:val="002F4D7C"/>
    <w:rsid w:val="002F7E64"/>
    <w:rsid w:val="00301E02"/>
    <w:rsid w:val="00301EDE"/>
    <w:rsid w:val="00302CCE"/>
    <w:rsid w:val="003031CA"/>
    <w:rsid w:val="00307AF8"/>
    <w:rsid w:val="00311F97"/>
    <w:rsid w:val="00312583"/>
    <w:rsid w:val="0031302F"/>
    <w:rsid w:val="00313D90"/>
    <w:rsid w:val="0031531C"/>
    <w:rsid w:val="003175DE"/>
    <w:rsid w:val="00320C41"/>
    <w:rsid w:val="003224F7"/>
    <w:rsid w:val="003236A3"/>
    <w:rsid w:val="003261E3"/>
    <w:rsid w:val="003306D2"/>
    <w:rsid w:val="00330A13"/>
    <w:rsid w:val="00331929"/>
    <w:rsid w:val="0033273A"/>
    <w:rsid w:val="00332EEF"/>
    <w:rsid w:val="00334FD0"/>
    <w:rsid w:val="00336726"/>
    <w:rsid w:val="00336E5F"/>
    <w:rsid w:val="00337BB1"/>
    <w:rsid w:val="0034039C"/>
    <w:rsid w:val="00340AFF"/>
    <w:rsid w:val="0034186A"/>
    <w:rsid w:val="00343239"/>
    <w:rsid w:val="0034411D"/>
    <w:rsid w:val="0034528A"/>
    <w:rsid w:val="00346623"/>
    <w:rsid w:val="0034728E"/>
    <w:rsid w:val="00350E68"/>
    <w:rsid w:val="0035272B"/>
    <w:rsid w:val="0035358C"/>
    <w:rsid w:val="00353714"/>
    <w:rsid w:val="0035373A"/>
    <w:rsid w:val="003545BB"/>
    <w:rsid w:val="00355C48"/>
    <w:rsid w:val="003562F0"/>
    <w:rsid w:val="00356C07"/>
    <w:rsid w:val="00357740"/>
    <w:rsid w:val="00361262"/>
    <w:rsid w:val="00363AEE"/>
    <w:rsid w:val="00366AC3"/>
    <w:rsid w:val="0036711D"/>
    <w:rsid w:val="00367324"/>
    <w:rsid w:val="00367CE5"/>
    <w:rsid w:val="003708FA"/>
    <w:rsid w:val="00370BA1"/>
    <w:rsid w:val="00371260"/>
    <w:rsid w:val="003725E0"/>
    <w:rsid w:val="003730ED"/>
    <w:rsid w:val="003754ED"/>
    <w:rsid w:val="0037576E"/>
    <w:rsid w:val="00376555"/>
    <w:rsid w:val="003767ED"/>
    <w:rsid w:val="00377F62"/>
    <w:rsid w:val="00380188"/>
    <w:rsid w:val="00381553"/>
    <w:rsid w:val="00381DFF"/>
    <w:rsid w:val="003832AD"/>
    <w:rsid w:val="00384642"/>
    <w:rsid w:val="003846CE"/>
    <w:rsid w:val="00384F7D"/>
    <w:rsid w:val="00387C00"/>
    <w:rsid w:val="003909C5"/>
    <w:rsid w:val="00390C25"/>
    <w:rsid w:val="00391275"/>
    <w:rsid w:val="00392E84"/>
    <w:rsid w:val="00394140"/>
    <w:rsid w:val="0039527A"/>
    <w:rsid w:val="0039533D"/>
    <w:rsid w:val="003977AD"/>
    <w:rsid w:val="003A1683"/>
    <w:rsid w:val="003A4D26"/>
    <w:rsid w:val="003A5AC9"/>
    <w:rsid w:val="003A5B2E"/>
    <w:rsid w:val="003A6491"/>
    <w:rsid w:val="003A64C2"/>
    <w:rsid w:val="003A6A67"/>
    <w:rsid w:val="003A7600"/>
    <w:rsid w:val="003A791E"/>
    <w:rsid w:val="003B0AAE"/>
    <w:rsid w:val="003B1479"/>
    <w:rsid w:val="003B1631"/>
    <w:rsid w:val="003B1729"/>
    <w:rsid w:val="003B3770"/>
    <w:rsid w:val="003B424F"/>
    <w:rsid w:val="003B5ABF"/>
    <w:rsid w:val="003B7AC0"/>
    <w:rsid w:val="003C0938"/>
    <w:rsid w:val="003C1D5D"/>
    <w:rsid w:val="003C2815"/>
    <w:rsid w:val="003C2C43"/>
    <w:rsid w:val="003C5D26"/>
    <w:rsid w:val="003D00E0"/>
    <w:rsid w:val="003D061C"/>
    <w:rsid w:val="003D09BA"/>
    <w:rsid w:val="003D0AD7"/>
    <w:rsid w:val="003D227A"/>
    <w:rsid w:val="003D32D1"/>
    <w:rsid w:val="003D3512"/>
    <w:rsid w:val="003D50AE"/>
    <w:rsid w:val="003D5628"/>
    <w:rsid w:val="003E04DA"/>
    <w:rsid w:val="003E07A0"/>
    <w:rsid w:val="003E0E93"/>
    <w:rsid w:val="003E4D01"/>
    <w:rsid w:val="003E534C"/>
    <w:rsid w:val="003E733C"/>
    <w:rsid w:val="003E7392"/>
    <w:rsid w:val="003F0839"/>
    <w:rsid w:val="003F0C62"/>
    <w:rsid w:val="003F2486"/>
    <w:rsid w:val="003F3458"/>
    <w:rsid w:val="003F3ADB"/>
    <w:rsid w:val="003F3F37"/>
    <w:rsid w:val="003F75F7"/>
    <w:rsid w:val="003F7A58"/>
    <w:rsid w:val="00401334"/>
    <w:rsid w:val="00401BB1"/>
    <w:rsid w:val="004025F4"/>
    <w:rsid w:val="00405014"/>
    <w:rsid w:val="00406AC2"/>
    <w:rsid w:val="0040704D"/>
    <w:rsid w:val="00407C27"/>
    <w:rsid w:val="00410851"/>
    <w:rsid w:val="00411B17"/>
    <w:rsid w:val="004131B3"/>
    <w:rsid w:val="004133CC"/>
    <w:rsid w:val="0041424A"/>
    <w:rsid w:val="004154EB"/>
    <w:rsid w:val="00415BC3"/>
    <w:rsid w:val="00415C1C"/>
    <w:rsid w:val="00415E78"/>
    <w:rsid w:val="00416981"/>
    <w:rsid w:val="00421C44"/>
    <w:rsid w:val="00423C77"/>
    <w:rsid w:val="00424AEE"/>
    <w:rsid w:val="0042646C"/>
    <w:rsid w:val="0042651A"/>
    <w:rsid w:val="00426DC1"/>
    <w:rsid w:val="00426FCD"/>
    <w:rsid w:val="0043157C"/>
    <w:rsid w:val="00431947"/>
    <w:rsid w:val="00431D5E"/>
    <w:rsid w:val="00431D8D"/>
    <w:rsid w:val="00433E84"/>
    <w:rsid w:val="00434ADB"/>
    <w:rsid w:val="00435F14"/>
    <w:rsid w:val="0043642A"/>
    <w:rsid w:val="00437F16"/>
    <w:rsid w:val="00440C44"/>
    <w:rsid w:val="0044189F"/>
    <w:rsid w:val="00441A27"/>
    <w:rsid w:val="0044215C"/>
    <w:rsid w:val="00442A39"/>
    <w:rsid w:val="00443925"/>
    <w:rsid w:val="00445780"/>
    <w:rsid w:val="00445FF6"/>
    <w:rsid w:val="00446910"/>
    <w:rsid w:val="00446F5E"/>
    <w:rsid w:val="0044745D"/>
    <w:rsid w:val="0044786A"/>
    <w:rsid w:val="00447F98"/>
    <w:rsid w:val="00450FD2"/>
    <w:rsid w:val="004511D6"/>
    <w:rsid w:val="00451BD5"/>
    <w:rsid w:val="00451DC4"/>
    <w:rsid w:val="00451DE5"/>
    <w:rsid w:val="00452156"/>
    <w:rsid w:val="0045223D"/>
    <w:rsid w:val="00453012"/>
    <w:rsid w:val="00453B1B"/>
    <w:rsid w:val="00453FE9"/>
    <w:rsid w:val="004572C2"/>
    <w:rsid w:val="00457510"/>
    <w:rsid w:val="00457D96"/>
    <w:rsid w:val="004600DA"/>
    <w:rsid w:val="0046029E"/>
    <w:rsid w:val="0046229E"/>
    <w:rsid w:val="00462E4A"/>
    <w:rsid w:val="00463596"/>
    <w:rsid w:val="004635EC"/>
    <w:rsid w:val="00463AC6"/>
    <w:rsid w:val="00464650"/>
    <w:rsid w:val="00464A52"/>
    <w:rsid w:val="00466A7F"/>
    <w:rsid w:val="00471C8A"/>
    <w:rsid w:val="00472313"/>
    <w:rsid w:val="00472AF9"/>
    <w:rsid w:val="00477E1D"/>
    <w:rsid w:val="0048219F"/>
    <w:rsid w:val="00483FB1"/>
    <w:rsid w:val="00484BA8"/>
    <w:rsid w:val="004876A9"/>
    <w:rsid w:val="004931AD"/>
    <w:rsid w:val="00495FD7"/>
    <w:rsid w:val="00497621"/>
    <w:rsid w:val="004A02F1"/>
    <w:rsid w:val="004A07FB"/>
    <w:rsid w:val="004A0C2C"/>
    <w:rsid w:val="004A3010"/>
    <w:rsid w:val="004A39C9"/>
    <w:rsid w:val="004A3AE3"/>
    <w:rsid w:val="004A3BDD"/>
    <w:rsid w:val="004A5400"/>
    <w:rsid w:val="004B6483"/>
    <w:rsid w:val="004B657D"/>
    <w:rsid w:val="004B6ECA"/>
    <w:rsid w:val="004B6F8C"/>
    <w:rsid w:val="004C0D55"/>
    <w:rsid w:val="004C3434"/>
    <w:rsid w:val="004C34A2"/>
    <w:rsid w:val="004C468F"/>
    <w:rsid w:val="004C618E"/>
    <w:rsid w:val="004D014A"/>
    <w:rsid w:val="004D17A3"/>
    <w:rsid w:val="004D2256"/>
    <w:rsid w:val="004D277A"/>
    <w:rsid w:val="004D2CAB"/>
    <w:rsid w:val="004D3A8A"/>
    <w:rsid w:val="004D643E"/>
    <w:rsid w:val="004D6BAA"/>
    <w:rsid w:val="004E0E95"/>
    <w:rsid w:val="004E2290"/>
    <w:rsid w:val="004E239A"/>
    <w:rsid w:val="004E4445"/>
    <w:rsid w:val="004E456C"/>
    <w:rsid w:val="004F0F0E"/>
    <w:rsid w:val="004F255E"/>
    <w:rsid w:val="004F2CE5"/>
    <w:rsid w:val="004F3259"/>
    <w:rsid w:val="004F4B00"/>
    <w:rsid w:val="004F6C40"/>
    <w:rsid w:val="005002A4"/>
    <w:rsid w:val="0050146F"/>
    <w:rsid w:val="00503F13"/>
    <w:rsid w:val="005072F1"/>
    <w:rsid w:val="005077E5"/>
    <w:rsid w:val="005078A3"/>
    <w:rsid w:val="005104E7"/>
    <w:rsid w:val="005107EE"/>
    <w:rsid w:val="0051458B"/>
    <w:rsid w:val="00516281"/>
    <w:rsid w:val="00516B4C"/>
    <w:rsid w:val="00517071"/>
    <w:rsid w:val="00517205"/>
    <w:rsid w:val="00517675"/>
    <w:rsid w:val="005214B6"/>
    <w:rsid w:val="005223B7"/>
    <w:rsid w:val="005228D1"/>
    <w:rsid w:val="00522EE1"/>
    <w:rsid w:val="005235DF"/>
    <w:rsid w:val="00523C0E"/>
    <w:rsid w:val="00525FC3"/>
    <w:rsid w:val="00526A33"/>
    <w:rsid w:val="005304AA"/>
    <w:rsid w:val="005306F2"/>
    <w:rsid w:val="00530DB7"/>
    <w:rsid w:val="0053104B"/>
    <w:rsid w:val="00531D49"/>
    <w:rsid w:val="00531D7E"/>
    <w:rsid w:val="005321EC"/>
    <w:rsid w:val="00533630"/>
    <w:rsid w:val="00533D40"/>
    <w:rsid w:val="00534011"/>
    <w:rsid w:val="00535EE1"/>
    <w:rsid w:val="0053634F"/>
    <w:rsid w:val="005407FD"/>
    <w:rsid w:val="00541C3F"/>
    <w:rsid w:val="00544254"/>
    <w:rsid w:val="00544448"/>
    <w:rsid w:val="0054458C"/>
    <w:rsid w:val="005454DE"/>
    <w:rsid w:val="00546AA5"/>
    <w:rsid w:val="0054795C"/>
    <w:rsid w:val="005517BB"/>
    <w:rsid w:val="00552454"/>
    <w:rsid w:val="005526F7"/>
    <w:rsid w:val="00553118"/>
    <w:rsid w:val="0055317A"/>
    <w:rsid w:val="005548AC"/>
    <w:rsid w:val="00554FF1"/>
    <w:rsid w:val="0055548A"/>
    <w:rsid w:val="005559E1"/>
    <w:rsid w:val="0055615E"/>
    <w:rsid w:val="00556AE3"/>
    <w:rsid w:val="0056162A"/>
    <w:rsid w:val="00561D2C"/>
    <w:rsid w:val="005633EF"/>
    <w:rsid w:val="00564417"/>
    <w:rsid w:val="0056747C"/>
    <w:rsid w:val="00570576"/>
    <w:rsid w:val="00570C3D"/>
    <w:rsid w:val="00571A8C"/>
    <w:rsid w:val="00572403"/>
    <w:rsid w:val="00572511"/>
    <w:rsid w:val="00572A13"/>
    <w:rsid w:val="00575303"/>
    <w:rsid w:val="00576AFD"/>
    <w:rsid w:val="00576DF9"/>
    <w:rsid w:val="0057791A"/>
    <w:rsid w:val="00577E2C"/>
    <w:rsid w:val="00580152"/>
    <w:rsid w:val="0058422A"/>
    <w:rsid w:val="005843FD"/>
    <w:rsid w:val="00584C8E"/>
    <w:rsid w:val="00585DA4"/>
    <w:rsid w:val="005919A7"/>
    <w:rsid w:val="00593E74"/>
    <w:rsid w:val="005954BD"/>
    <w:rsid w:val="00595908"/>
    <w:rsid w:val="00596C3F"/>
    <w:rsid w:val="00597DB0"/>
    <w:rsid w:val="005A2DC6"/>
    <w:rsid w:val="005A3043"/>
    <w:rsid w:val="005A4AE4"/>
    <w:rsid w:val="005A61ED"/>
    <w:rsid w:val="005B0893"/>
    <w:rsid w:val="005B118F"/>
    <w:rsid w:val="005B1605"/>
    <w:rsid w:val="005B2EEE"/>
    <w:rsid w:val="005B39B2"/>
    <w:rsid w:val="005B3A25"/>
    <w:rsid w:val="005B3A93"/>
    <w:rsid w:val="005B4ADB"/>
    <w:rsid w:val="005B4CF9"/>
    <w:rsid w:val="005B4DDB"/>
    <w:rsid w:val="005B5A59"/>
    <w:rsid w:val="005B60B1"/>
    <w:rsid w:val="005B725A"/>
    <w:rsid w:val="005B72F1"/>
    <w:rsid w:val="005B7BF5"/>
    <w:rsid w:val="005B7EC0"/>
    <w:rsid w:val="005C07DE"/>
    <w:rsid w:val="005C33AB"/>
    <w:rsid w:val="005C383C"/>
    <w:rsid w:val="005C3FA3"/>
    <w:rsid w:val="005C58A5"/>
    <w:rsid w:val="005D1945"/>
    <w:rsid w:val="005D21B1"/>
    <w:rsid w:val="005D377E"/>
    <w:rsid w:val="005D45F9"/>
    <w:rsid w:val="005D65A0"/>
    <w:rsid w:val="005E1E14"/>
    <w:rsid w:val="005E3A15"/>
    <w:rsid w:val="005E5200"/>
    <w:rsid w:val="005E682B"/>
    <w:rsid w:val="005E6B28"/>
    <w:rsid w:val="005F07D0"/>
    <w:rsid w:val="005F324D"/>
    <w:rsid w:val="005F47E5"/>
    <w:rsid w:val="005F511C"/>
    <w:rsid w:val="005F5589"/>
    <w:rsid w:val="00600FFA"/>
    <w:rsid w:val="00601048"/>
    <w:rsid w:val="00602562"/>
    <w:rsid w:val="00604246"/>
    <w:rsid w:val="006042E2"/>
    <w:rsid w:val="00605CA2"/>
    <w:rsid w:val="00607ABC"/>
    <w:rsid w:val="00607D8A"/>
    <w:rsid w:val="006109C2"/>
    <w:rsid w:val="00611679"/>
    <w:rsid w:val="006116DF"/>
    <w:rsid w:val="00612BA9"/>
    <w:rsid w:val="006143D4"/>
    <w:rsid w:val="006154AC"/>
    <w:rsid w:val="006158A9"/>
    <w:rsid w:val="00616A68"/>
    <w:rsid w:val="00617B5F"/>
    <w:rsid w:val="006211A4"/>
    <w:rsid w:val="00623E7E"/>
    <w:rsid w:val="00626F6E"/>
    <w:rsid w:val="00630380"/>
    <w:rsid w:val="006304E6"/>
    <w:rsid w:val="0063224A"/>
    <w:rsid w:val="00633592"/>
    <w:rsid w:val="0063638D"/>
    <w:rsid w:val="006366E5"/>
    <w:rsid w:val="006400DB"/>
    <w:rsid w:val="00641744"/>
    <w:rsid w:val="006431E4"/>
    <w:rsid w:val="00644ED2"/>
    <w:rsid w:val="00645B1B"/>
    <w:rsid w:val="00645CD5"/>
    <w:rsid w:val="00645F7A"/>
    <w:rsid w:val="00646A6D"/>
    <w:rsid w:val="00651E66"/>
    <w:rsid w:val="006560E4"/>
    <w:rsid w:val="0065665E"/>
    <w:rsid w:val="00657803"/>
    <w:rsid w:val="00663738"/>
    <w:rsid w:val="00665025"/>
    <w:rsid w:val="006656D2"/>
    <w:rsid w:val="00666B06"/>
    <w:rsid w:val="0066797D"/>
    <w:rsid w:val="00667BC9"/>
    <w:rsid w:val="0067024F"/>
    <w:rsid w:val="00671ABC"/>
    <w:rsid w:val="00672477"/>
    <w:rsid w:val="00677696"/>
    <w:rsid w:val="00680C96"/>
    <w:rsid w:val="00683A6F"/>
    <w:rsid w:val="0068440D"/>
    <w:rsid w:val="00684967"/>
    <w:rsid w:val="00685802"/>
    <w:rsid w:val="006878F1"/>
    <w:rsid w:val="00687AF1"/>
    <w:rsid w:val="0069177E"/>
    <w:rsid w:val="006919F6"/>
    <w:rsid w:val="00693449"/>
    <w:rsid w:val="00696D62"/>
    <w:rsid w:val="006A0548"/>
    <w:rsid w:val="006A1D98"/>
    <w:rsid w:val="006A28D5"/>
    <w:rsid w:val="006A337A"/>
    <w:rsid w:val="006A5552"/>
    <w:rsid w:val="006B242B"/>
    <w:rsid w:val="006B2DC3"/>
    <w:rsid w:val="006B499D"/>
    <w:rsid w:val="006B5C6A"/>
    <w:rsid w:val="006B72F6"/>
    <w:rsid w:val="006C0145"/>
    <w:rsid w:val="006C157B"/>
    <w:rsid w:val="006C1C5C"/>
    <w:rsid w:val="006C229A"/>
    <w:rsid w:val="006C2913"/>
    <w:rsid w:val="006C53B1"/>
    <w:rsid w:val="006C6178"/>
    <w:rsid w:val="006C6CC8"/>
    <w:rsid w:val="006C79FA"/>
    <w:rsid w:val="006C7E4C"/>
    <w:rsid w:val="006D057C"/>
    <w:rsid w:val="006D1132"/>
    <w:rsid w:val="006D4563"/>
    <w:rsid w:val="006D4B8C"/>
    <w:rsid w:val="006D5250"/>
    <w:rsid w:val="006D56BC"/>
    <w:rsid w:val="006D5F40"/>
    <w:rsid w:val="006D784A"/>
    <w:rsid w:val="006E0617"/>
    <w:rsid w:val="006E08E3"/>
    <w:rsid w:val="006E3DAA"/>
    <w:rsid w:val="006E41E6"/>
    <w:rsid w:val="006E4533"/>
    <w:rsid w:val="006E4552"/>
    <w:rsid w:val="006E51EA"/>
    <w:rsid w:val="006E6B58"/>
    <w:rsid w:val="006E78EE"/>
    <w:rsid w:val="006F09F1"/>
    <w:rsid w:val="006F18FC"/>
    <w:rsid w:val="006F2C0A"/>
    <w:rsid w:val="006F399B"/>
    <w:rsid w:val="006F483E"/>
    <w:rsid w:val="006F6E56"/>
    <w:rsid w:val="007023BD"/>
    <w:rsid w:val="00702C96"/>
    <w:rsid w:val="00703BBE"/>
    <w:rsid w:val="00703E6F"/>
    <w:rsid w:val="00707206"/>
    <w:rsid w:val="00710B37"/>
    <w:rsid w:val="007117DC"/>
    <w:rsid w:val="0071316C"/>
    <w:rsid w:val="007139C7"/>
    <w:rsid w:val="00713AC9"/>
    <w:rsid w:val="0071467A"/>
    <w:rsid w:val="007149F5"/>
    <w:rsid w:val="00714EBE"/>
    <w:rsid w:val="0071523E"/>
    <w:rsid w:val="007177BA"/>
    <w:rsid w:val="0072237D"/>
    <w:rsid w:val="00722A7D"/>
    <w:rsid w:val="007255C5"/>
    <w:rsid w:val="007259F3"/>
    <w:rsid w:val="00726947"/>
    <w:rsid w:val="00727515"/>
    <w:rsid w:val="00727E04"/>
    <w:rsid w:val="00730037"/>
    <w:rsid w:val="007308DB"/>
    <w:rsid w:val="007310F4"/>
    <w:rsid w:val="00731BBF"/>
    <w:rsid w:val="007324DF"/>
    <w:rsid w:val="00732A09"/>
    <w:rsid w:val="00733837"/>
    <w:rsid w:val="00734F72"/>
    <w:rsid w:val="00734F9D"/>
    <w:rsid w:val="00737947"/>
    <w:rsid w:val="007424C5"/>
    <w:rsid w:val="00742850"/>
    <w:rsid w:val="00742C8B"/>
    <w:rsid w:val="00744154"/>
    <w:rsid w:val="00744435"/>
    <w:rsid w:val="007457E1"/>
    <w:rsid w:val="007460A9"/>
    <w:rsid w:val="00752CD9"/>
    <w:rsid w:val="0075309D"/>
    <w:rsid w:val="007539C5"/>
    <w:rsid w:val="00756225"/>
    <w:rsid w:val="00756A91"/>
    <w:rsid w:val="00756EFD"/>
    <w:rsid w:val="00757E03"/>
    <w:rsid w:val="00761A61"/>
    <w:rsid w:val="00762ABB"/>
    <w:rsid w:val="00764889"/>
    <w:rsid w:val="00765801"/>
    <w:rsid w:val="007678E7"/>
    <w:rsid w:val="007705CB"/>
    <w:rsid w:val="00771068"/>
    <w:rsid w:val="00771516"/>
    <w:rsid w:val="00771ECE"/>
    <w:rsid w:val="007722BD"/>
    <w:rsid w:val="00772B03"/>
    <w:rsid w:val="00775CE3"/>
    <w:rsid w:val="00775EFE"/>
    <w:rsid w:val="007804A2"/>
    <w:rsid w:val="00781531"/>
    <w:rsid w:val="00781667"/>
    <w:rsid w:val="00782EFD"/>
    <w:rsid w:val="00783C2F"/>
    <w:rsid w:val="00783DA5"/>
    <w:rsid w:val="00783DE7"/>
    <w:rsid w:val="00785BCA"/>
    <w:rsid w:val="0078608F"/>
    <w:rsid w:val="00786F75"/>
    <w:rsid w:val="00787B2C"/>
    <w:rsid w:val="00790593"/>
    <w:rsid w:val="00790F51"/>
    <w:rsid w:val="00790FF1"/>
    <w:rsid w:val="00791C66"/>
    <w:rsid w:val="007931B3"/>
    <w:rsid w:val="007939A4"/>
    <w:rsid w:val="00796A06"/>
    <w:rsid w:val="00797ACB"/>
    <w:rsid w:val="007A17A4"/>
    <w:rsid w:val="007A3110"/>
    <w:rsid w:val="007A3E05"/>
    <w:rsid w:val="007A4258"/>
    <w:rsid w:val="007A54A4"/>
    <w:rsid w:val="007A7ABB"/>
    <w:rsid w:val="007B1B82"/>
    <w:rsid w:val="007B1E8E"/>
    <w:rsid w:val="007B2227"/>
    <w:rsid w:val="007B5038"/>
    <w:rsid w:val="007B5D70"/>
    <w:rsid w:val="007C0529"/>
    <w:rsid w:val="007C16EB"/>
    <w:rsid w:val="007C39D0"/>
    <w:rsid w:val="007C4DEA"/>
    <w:rsid w:val="007C6FDF"/>
    <w:rsid w:val="007D04B2"/>
    <w:rsid w:val="007D1C25"/>
    <w:rsid w:val="007D2C94"/>
    <w:rsid w:val="007D642E"/>
    <w:rsid w:val="007D7A84"/>
    <w:rsid w:val="007E1FAE"/>
    <w:rsid w:val="007E21BD"/>
    <w:rsid w:val="007E2A7B"/>
    <w:rsid w:val="007E3172"/>
    <w:rsid w:val="007E3677"/>
    <w:rsid w:val="007E4A82"/>
    <w:rsid w:val="007E4AEF"/>
    <w:rsid w:val="007E7311"/>
    <w:rsid w:val="007E7951"/>
    <w:rsid w:val="007F01D7"/>
    <w:rsid w:val="007F1B7C"/>
    <w:rsid w:val="007F1B81"/>
    <w:rsid w:val="007F1CE8"/>
    <w:rsid w:val="007F7F10"/>
    <w:rsid w:val="008012C7"/>
    <w:rsid w:val="00802EA0"/>
    <w:rsid w:val="00803809"/>
    <w:rsid w:val="00803E2A"/>
    <w:rsid w:val="008056C2"/>
    <w:rsid w:val="008133DC"/>
    <w:rsid w:val="00815C2C"/>
    <w:rsid w:val="008209A4"/>
    <w:rsid w:val="00822913"/>
    <w:rsid w:val="00822A29"/>
    <w:rsid w:val="00825C56"/>
    <w:rsid w:val="008275F3"/>
    <w:rsid w:val="00827BF0"/>
    <w:rsid w:val="00830915"/>
    <w:rsid w:val="00830EF8"/>
    <w:rsid w:val="00830FB2"/>
    <w:rsid w:val="00831641"/>
    <w:rsid w:val="00831B55"/>
    <w:rsid w:val="00834175"/>
    <w:rsid w:val="0083424E"/>
    <w:rsid w:val="0083468D"/>
    <w:rsid w:val="00835614"/>
    <w:rsid w:val="00835EC9"/>
    <w:rsid w:val="00836F47"/>
    <w:rsid w:val="00837AFD"/>
    <w:rsid w:val="0084008D"/>
    <w:rsid w:val="00840230"/>
    <w:rsid w:val="0084072A"/>
    <w:rsid w:val="00843621"/>
    <w:rsid w:val="00846B30"/>
    <w:rsid w:val="00847024"/>
    <w:rsid w:val="00847BD8"/>
    <w:rsid w:val="00850E5B"/>
    <w:rsid w:val="00851092"/>
    <w:rsid w:val="00851D8E"/>
    <w:rsid w:val="008533E4"/>
    <w:rsid w:val="00855534"/>
    <w:rsid w:val="00856DB2"/>
    <w:rsid w:val="00861F98"/>
    <w:rsid w:val="00862329"/>
    <w:rsid w:val="008635CB"/>
    <w:rsid w:val="0086461A"/>
    <w:rsid w:val="00864AD3"/>
    <w:rsid w:val="00865883"/>
    <w:rsid w:val="008665B4"/>
    <w:rsid w:val="008666AB"/>
    <w:rsid w:val="0087025D"/>
    <w:rsid w:val="00872135"/>
    <w:rsid w:val="00872514"/>
    <w:rsid w:val="00872855"/>
    <w:rsid w:val="00873B69"/>
    <w:rsid w:val="00874FAF"/>
    <w:rsid w:val="008751E9"/>
    <w:rsid w:val="008773ED"/>
    <w:rsid w:val="008807E1"/>
    <w:rsid w:val="00880F1C"/>
    <w:rsid w:val="008822FA"/>
    <w:rsid w:val="00885B20"/>
    <w:rsid w:val="00886C92"/>
    <w:rsid w:val="00890129"/>
    <w:rsid w:val="008902D3"/>
    <w:rsid w:val="008908E9"/>
    <w:rsid w:val="008910BB"/>
    <w:rsid w:val="00892526"/>
    <w:rsid w:val="00892695"/>
    <w:rsid w:val="00892697"/>
    <w:rsid w:val="00893A29"/>
    <w:rsid w:val="00894229"/>
    <w:rsid w:val="00895866"/>
    <w:rsid w:val="00895960"/>
    <w:rsid w:val="00895B19"/>
    <w:rsid w:val="008964E0"/>
    <w:rsid w:val="008A11B5"/>
    <w:rsid w:val="008A270E"/>
    <w:rsid w:val="008A3BAF"/>
    <w:rsid w:val="008A3C65"/>
    <w:rsid w:val="008A3DC2"/>
    <w:rsid w:val="008A54E9"/>
    <w:rsid w:val="008A6249"/>
    <w:rsid w:val="008A640A"/>
    <w:rsid w:val="008B02A8"/>
    <w:rsid w:val="008B06A5"/>
    <w:rsid w:val="008B0E82"/>
    <w:rsid w:val="008B2280"/>
    <w:rsid w:val="008B427D"/>
    <w:rsid w:val="008B50A5"/>
    <w:rsid w:val="008B5121"/>
    <w:rsid w:val="008B5F29"/>
    <w:rsid w:val="008B6DDE"/>
    <w:rsid w:val="008C0005"/>
    <w:rsid w:val="008C288E"/>
    <w:rsid w:val="008C28F4"/>
    <w:rsid w:val="008C3FC9"/>
    <w:rsid w:val="008C4735"/>
    <w:rsid w:val="008D069C"/>
    <w:rsid w:val="008D06E6"/>
    <w:rsid w:val="008D08AB"/>
    <w:rsid w:val="008D2A7F"/>
    <w:rsid w:val="008D2E8D"/>
    <w:rsid w:val="008D2FA6"/>
    <w:rsid w:val="008D3046"/>
    <w:rsid w:val="008D30F1"/>
    <w:rsid w:val="008D4077"/>
    <w:rsid w:val="008D4D9A"/>
    <w:rsid w:val="008D74C8"/>
    <w:rsid w:val="008E13FA"/>
    <w:rsid w:val="008E21CF"/>
    <w:rsid w:val="008E28A6"/>
    <w:rsid w:val="008E331A"/>
    <w:rsid w:val="008E3B3E"/>
    <w:rsid w:val="008E4D47"/>
    <w:rsid w:val="008E599E"/>
    <w:rsid w:val="008E5BE5"/>
    <w:rsid w:val="008E7A92"/>
    <w:rsid w:val="008F161C"/>
    <w:rsid w:val="008F1674"/>
    <w:rsid w:val="008F27C3"/>
    <w:rsid w:val="008F3B15"/>
    <w:rsid w:val="008F3CF2"/>
    <w:rsid w:val="008F450E"/>
    <w:rsid w:val="008F511D"/>
    <w:rsid w:val="008F681B"/>
    <w:rsid w:val="008F6A96"/>
    <w:rsid w:val="0090151B"/>
    <w:rsid w:val="00901826"/>
    <w:rsid w:val="00902A58"/>
    <w:rsid w:val="00903106"/>
    <w:rsid w:val="00903329"/>
    <w:rsid w:val="00906529"/>
    <w:rsid w:val="009106CC"/>
    <w:rsid w:val="009128EC"/>
    <w:rsid w:val="00912FB5"/>
    <w:rsid w:val="009135E5"/>
    <w:rsid w:val="0091439A"/>
    <w:rsid w:val="0091782E"/>
    <w:rsid w:val="00917FC7"/>
    <w:rsid w:val="009210FB"/>
    <w:rsid w:val="009224C1"/>
    <w:rsid w:val="00923518"/>
    <w:rsid w:val="0092382B"/>
    <w:rsid w:val="009248EC"/>
    <w:rsid w:val="00925E83"/>
    <w:rsid w:val="00926C0C"/>
    <w:rsid w:val="0092734F"/>
    <w:rsid w:val="00930032"/>
    <w:rsid w:val="00932C8E"/>
    <w:rsid w:val="00933777"/>
    <w:rsid w:val="009363A7"/>
    <w:rsid w:val="00937DA1"/>
    <w:rsid w:val="00940B37"/>
    <w:rsid w:val="00940DC3"/>
    <w:rsid w:val="00940EEF"/>
    <w:rsid w:val="009426F5"/>
    <w:rsid w:val="00944630"/>
    <w:rsid w:val="00944A78"/>
    <w:rsid w:val="0094506A"/>
    <w:rsid w:val="009454A5"/>
    <w:rsid w:val="00946151"/>
    <w:rsid w:val="00947325"/>
    <w:rsid w:val="00947957"/>
    <w:rsid w:val="00947E0D"/>
    <w:rsid w:val="00952C8E"/>
    <w:rsid w:val="00955E98"/>
    <w:rsid w:val="00957120"/>
    <w:rsid w:val="009571A1"/>
    <w:rsid w:val="0096090A"/>
    <w:rsid w:val="00962F8A"/>
    <w:rsid w:val="00966BB4"/>
    <w:rsid w:val="0096728B"/>
    <w:rsid w:val="00967844"/>
    <w:rsid w:val="00972618"/>
    <w:rsid w:val="009729BE"/>
    <w:rsid w:val="009731EA"/>
    <w:rsid w:val="00973243"/>
    <w:rsid w:val="009733C6"/>
    <w:rsid w:val="0097382B"/>
    <w:rsid w:val="00974725"/>
    <w:rsid w:val="00974BE3"/>
    <w:rsid w:val="009758B6"/>
    <w:rsid w:val="009778D5"/>
    <w:rsid w:val="00977A55"/>
    <w:rsid w:val="00980F23"/>
    <w:rsid w:val="00981418"/>
    <w:rsid w:val="00981CC6"/>
    <w:rsid w:val="00982D1F"/>
    <w:rsid w:val="0098309A"/>
    <w:rsid w:val="00985620"/>
    <w:rsid w:val="00985D92"/>
    <w:rsid w:val="00986024"/>
    <w:rsid w:val="00986FDF"/>
    <w:rsid w:val="00987E02"/>
    <w:rsid w:val="00993682"/>
    <w:rsid w:val="009940F4"/>
    <w:rsid w:val="009959A8"/>
    <w:rsid w:val="009963A4"/>
    <w:rsid w:val="0099790A"/>
    <w:rsid w:val="009A1E95"/>
    <w:rsid w:val="009A2885"/>
    <w:rsid w:val="009A2D79"/>
    <w:rsid w:val="009A4721"/>
    <w:rsid w:val="009A5D26"/>
    <w:rsid w:val="009A720F"/>
    <w:rsid w:val="009A780F"/>
    <w:rsid w:val="009B0223"/>
    <w:rsid w:val="009B0B6E"/>
    <w:rsid w:val="009B0B74"/>
    <w:rsid w:val="009B14AE"/>
    <w:rsid w:val="009B3462"/>
    <w:rsid w:val="009B54EE"/>
    <w:rsid w:val="009C170E"/>
    <w:rsid w:val="009C1C5C"/>
    <w:rsid w:val="009C2EC4"/>
    <w:rsid w:val="009C6856"/>
    <w:rsid w:val="009D0ED8"/>
    <w:rsid w:val="009D22B2"/>
    <w:rsid w:val="009D3181"/>
    <w:rsid w:val="009D5018"/>
    <w:rsid w:val="009E0AC5"/>
    <w:rsid w:val="009E204A"/>
    <w:rsid w:val="009E2E38"/>
    <w:rsid w:val="009E6FBC"/>
    <w:rsid w:val="009E7448"/>
    <w:rsid w:val="009E7E27"/>
    <w:rsid w:val="009F0D6F"/>
    <w:rsid w:val="009F16B5"/>
    <w:rsid w:val="009F1BF7"/>
    <w:rsid w:val="009F1E3A"/>
    <w:rsid w:val="009F2180"/>
    <w:rsid w:val="009F2501"/>
    <w:rsid w:val="009F2C46"/>
    <w:rsid w:val="009F3A55"/>
    <w:rsid w:val="009F4446"/>
    <w:rsid w:val="009F47D5"/>
    <w:rsid w:val="009F4EEF"/>
    <w:rsid w:val="009F5D8C"/>
    <w:rsid w:val="009F6D83"/>
    <w:rsid w:val="009F6FFF"/>
    <w:rsid w:val="009F7A6E"/>
    <w:rsid w:val="00A000C3"/>
    <w:rsid w:val="00A02292"/>
    <w:rsid w:val="00A033CD"/>
    <w:rsid w:val="00A0375F"/>
    <w:rsid w:val="00A0476F"/>
    <w:rsid w:val="00A052F7"/>
    <w:rsid w:val="00A10CA8"/>
    <w:rsid w:val="00A11429"/>
    <w:rsid w:val="00A11F81"/>
    <w:rsid w:val="00A14EC6"/>
    <w:rsid w:val="00A153B0"/>
    <w:rsid w:val="00A16BC5"/>
    <w:rsid w:val="00A17608"/>
    <w:rsid w:val="00A176E0"/>
    <w:rsid w:val="00A22B38"/>
    <w:rsid w:val="00A2352A"/>
    <w:rsid w:val="00A238D6"/>
    <w:rsid w:val="00A2403E"/>
    <w:rsid w:val="00A250E9"/>
    <w:rsid w:val="00A2521C"/>
    <w:rsid w:val="00A261C1"/>
    <w:rsid w:val="00A27721"/>
    <w:rsid w:val="00A27F3A"/>
    <w:rsid w:val="00A309FB"/>
    <w:rsid w:val="00A31626"/>
    <w:rsid w:val="00A32CE5"/>
    <w:rsid w:val="00A338EA"/>
    <w:rsid w:val="00A33EF7"/>
    <w:rsid w:val="00A36BC5"/>
    <w:rsid w:val="00A40ADA"/>
    <w:rsid w:val="00A41279"/>
    <w:rsid w:val="00A46007"/>
    <w:rsid w:val="00A469A8"/>
    <w:rsid w:val="00A471BE"/>
    <w:rsid w:val="00A477E9"/>
    <w:rsid w:val="00A47E30"/>
    <w:rsid w:val="00A50CC3"/>
    <w:rsid w:val="00A516CA"/>
    <w:rsid w:val="00A51C25"/>
    <w:rsid w:val="00A5323C"/>
    <w:rsid w:val="00A53820"/>
    <w:rsid w:val="00A53A7A"/>
    <w:rsid w:val="00A53DA4"/>
    <w:rsid w:val="00A5497B"/>
    <w:rsid w:val="00A54B6E"/>
    <w:rsid w:val="00A550C3"/>
    <w:rsid w:val="00A57528"/>
    <w:rsid w:val="00A6039C"/>
    <w:rsid w:val="00A607FE"/>
    <w:rsid w:val="00A6130D"/>
    <w:rsid w:val="00A645C8"/>
    <w:rsid w:val="00A65A3F"/>
    <w:rsid w:val="00A66D59"/>
    <w:rsid w:val="00A70221"/>
    <w:rsid w:val="00A71159"/>
    <w:rsid w:val="00A712E2"/>
    <w:rsid w:val="00A732FD"/>
    <w:rsid w:val="00A74B30"/>
    <w:rsid w:val="00A753B0"/>
    <w:rsid w:val="00A7558C"/>
    <w:rsid w:val="00A75890"/>
    <w:rsid w:val="00A76B92"/>
    <w:rsid w:val="00A80F2F"/>
    <w:rsid w:val="00A80F97"/>
    <w:rsid w:val="00A8159A"/>
    <w:rsid w:val="00A822C8"/>
    <w:rsid w:val="00A829F8"/>
    <w:rsid w:val="00A840F3"/>
    <w:rsid w:val="00A846C7"/>
    <w:rsid w:val="00A84A5A"/>
    <w:rsid w:val="00A84DB9"/>
    <w:rsid w:val="00A84E29"/>
    <w:rsid w:val="00A85028"/>
    <w:rsid w:val="00A858A8"/>
    <w:rsid w:val="00A868F4"/>
    <w:rsid w:val="00A8698E"/>
    <w:rsid w:val="00A87B74"/>
    <w:rsid w:val="00A908CF"/>
    <w:rsid w:val="00A91AFB"/>
    <w:rsid w:val="00A93629"/>
    <w:rsid w:val="00A93F6D"/>
    <w:rsid w:val="00AA0589"/>
    <w:rsid w:val="00AA149D"/>
    <w:rsid w:val="00AA1651"/>
    <w:rsid w:val="00AA1DEA"/>
    <w:rsid w:val="00AA1EC3"/>
    <w:rsid w:val="00AA2A76"/>
    <w:rsid w:val="00AA39BE"/>
    <w:rsid w:val="00AA4755"/>
    <w:rsid w:val="00AA475C"/>
    <w:rsid w:val="00AA59FA"/>
    <w:rsid w:val="00AA7D8C"/>
    <w:rsid w:val="00AB2680"/>
    <w:rsid w:val="00AB4701"/>
    <w:rsid w:val="00AB5336"/>
    <w:rsid w:val="00AB5877"/>
    <w:rsid w:val="00AB6193"/>
    <w:rsid w:val="00AB6379"/>
    <w:rsid w:val="00AB72B3"/>
    <w:rsid w:val="00AC0634"/>
    <w:rsid w:val="00AC0791"/>
    <w:rsid w:val="00AC0B88"/>
    <w:rsid w:val="00AC0F39"/>
    <w:rsid w:val="00AC3C3C"/>
    <w:rsid w:val="00AC4DAD"/>
    <w:rsid w:val="00AC4FB9"/>
    <w:rsid w:val="00AC55FB"/>
    <w:rsid w:val="00AC7AEF"/>
    <w:rsid w:val="00AD019E"/>
    <w:rsid w:val="00AD0308"/>
    <w:rsid w:val="00AD569C"/>
    <w:rsid w:val="00AD6E82"/>
    <w:rsid w:val="00AD72C1"/>
    <w:rsid w:val="00AE2FF9"/>
    <w:rsid w:val="00AE4E23"/>
    <w:rsid w:val="00AE554D"/>
    <w:rsid w:val="00AE69FC"/>
    <w:rsid w:val="00AE7022"/>
    <w:rsid w:val="00AF01F3"/>
    <w:rsid w:val="00AF05C0"/>
    <w:rsid w:val="00AF0B5B"/>
    <w:rsid w:val="00AF284D"/>
    <w:rsid w:val="00AF2BD6"/>
    <w:rsid w:val="00AF37D2"/>
    <w:rsid w:val="00AF6B05"/>
    <w:rsid w:val="00B00682"/>
    <w:rsid w:val="00B00FD3"/>
    <w:rsid w:val="00B0221C"/>
    <w:rsid w:val="00B02B40"/>
    <w:rsid w:val="00B04421"/>
    <w:rsid w:val="00B0450F"/>
    <w:rsid w:val="00B04607"/>
    <w:rsid w:val="00B04AFA"/>
    <w:rsid w:val="00B05DE4"/>
    <w:rsid w:val="00B064DC"/>
    <w:rsid w:val="00B06631"/>
    <w:rsid w:val="00B0666F"/>
    <w:rsid w:val="00B10A25"/>
    <w:rsid w:val="00B10B06"/>
    <w:rsid w:val="00B124CF"/>
    <w:rsid w:val="00B13DEB"/>
    <w:rsid w:val="00B150F0"/>
    <w:rsid w:val="00B16C69"/>
    <w:rsid w:val="00B17F0B"/>
    <w:rsid w:val="00B207D3"/>
    <w:rsid w:val="00B2120A"/>
    <w:rsid w:val="00B25BE0"/>
    <w:rsid w:val="00B264DE"/>
    <w:rsid w:val="00B2754B"/>
    <w:rsid w:val="00B33359"/>
    <w:rsid w:val="00B34DCC"/>
    <w:rsid w:val="00B35BA5"/>
    <w:rsid w:val="00B35EB9"/>
    <w:rsid w:val="00B405ED"/>
    <w:rsid w:val="00B40945"/>
    <w:rsid w:val="00B4140E"/>
    <w:rsid w:val="00B415E2"/>
    <w:rsid w:val="00B4293B"/>
    <w:rsid w:val="00B42F83"/>
    <w:rsid w:val="00B43D69"/>
    <w:rsid w:val="00B448C2"/>
    <w:rsid w:val="00B44F7C"/>
    <w:rsid w:val="00B463E3"/>
    <w:rsid w:val="00B4708F"/>
    <w:rsid w:val="00B50F75"/>
    <w:rsid w:val="00B51353"/>
    <w:rsid w:val="00B51A73"/>
    <w:rsid w:val="00B54427"/>
    <w:rsid w:val="00B54542"/>
    <w:rsid w:val="00B54757"/>
    <w:rsid w:val="00B54CD6"/>
    <w:rsid w:val="00B603D8"/>
    <w:rsid w:val="00B6086D"/>
    <w:rsid w:val="00B62F59"/>
    <w:rsid w:val="00B63730"/>
    <w:rsid w:val="00B63BFD"/>
    <w:rsid w:val="00B655E2"/>
    <w:rsid w:val="00B67AA1"/>
    <w:rsid w:val="00B71256"/>
    <w:rsid w:val="00B715A4"/>
    <w:rsid w:val="00B74598"/>
    <w:rsid w:val="00B77378"/>
    <w:rsid w:val="00B8111E"/>
    <w:rsid w:val="00B82A37"/>
    <w:rsid w:val="00B8539A"/>
    <w:rsid w:val="00B86A6B"/>
    <w:rsid w:val="00B86C03"/>
    <w:rsid w:val="00B86EA8"/>
    <w:rsid w:val="00B909D8"/>
    <w:rsid w:val="00B92042"/>
    <w:rsid w:val="00B94C8F"/>
    <w:rsid w:val="00B94E70"/>
    <w:rsid w:val="00B960BA"/>
    <w:rsid w:val="00B974FA"/>
    <w:rsid w:val="00BA2470"/>
    <w:rsid w:val="00BA4DAC"/>
    <w:rsid w:val="00BA592D"/>
    <w:rsid w:val="00BB2E0C"/>
    <w:rsid w:val="00BB311A"/>
    <w:rsid w:val="00BB47A6"/>
    <w:rsid w:val="00BB4FB5"/>
    <w:rsid w:val="00BB5AC2"/>
    <w:rsid w:val="00BB72D2"/>
    <w:rsid w:val="00BC0083"/>
    <w:rsid w:val="00BC2FAA"/>
    <w:rsid w:val="00BC316B"/>
    <w:rsid w:val="00BC47A2"/>
    <w:rsid w:val="00BC7595"/>
    <w:rsid w:val="00BC7A7C"/>
    <w:rsid w:val="00BD0EE0"/>
    <w:rsid w:val="00BD2AC8"/>
    <w:rsid w:val="00BD2F75"/>
    <w:rsid w:val="00BD4A7D"/>
    <w:rsid w:val="00BE075A"/>
    <w:rsid w:val="00BE5668"/>
    <w:rsid w:val="00BE5A14"/>
    <w:rsid w:val="00BE660B"/>
    <w:rsid w:val="00BE6EF5"/>
    <w:rsid w:val="00BE775B"/>
    <w:rsid w:val="00BE7CFA"/>
    <w:rsid w:val="00BE7D33"/>
    <w:rsid w:val="00BF0A60"/>
    <w:rsid w:val="00BF10BF"/>
    <w:rsid w:val="00BF147F"/>
    <w:rsid w:val="00BF2E89"/>
    <w:rsid w:val="00BF5180"/>
    <w:rsid w:val="00C00821"/>
    <w:rsid w:val="00C01256"/>
    <w:rsid w:val="00C018C2"/>
    <w:rsid w:val="00C0213C"/>
    <w:rsid w:val="00C04F93"/>
    <w:rsid w:val="00C0537B"/>
    <w:rsid w:val="00C053B2"/>
    <w:rsid w:val="00C079B3"/>
    <w:rsid w:val="00C07D4C"/>
    <w:rsid w:val="00C10574"/>
    <w:rsid w:val="00C10A97"/>
    <w:rsid w:val="00C10D35"/>
    <w:rsid w:val="00C1171E"/>
    <w:rsid w:val="00C153D0"/>
    <w:rsid w:val="00C154DF"/>
    <w:rsid w:val="00C172FC"/>
    <w:rsid w:val="00C17A51"/>
    <w:rsid w:val="00C20B83"/>
    <w:rsid w:val="00C2128E"/>
    <w:rsid w:val="00C21598"/>
    <w:rsid w:val="00C2516E"/>
    <w:rsid w:val="00C25734"/>
    <w:rsid w:val="00C25B05"/>
    <w:rsid w:val="00C26813"/>
    <w:rsid w:val="00C26D1C"/>
    <w:rsid w:val="00C3159D"/>
    <w:rsid w:val="00C32BCE"/>
    <w:rsid w:val="00C34110"/>
    <w:rsid w:val="00C34355"/>
    <w:rsid w:val="00C348A0"/>
    <w:rsid w:val="00C34BCE"/>
    <w:rsid w:val="00C401A0"/>
    <w:rsid w:val="00C424E0"/>
    <w:rsid w:val="00C43E49"/>
    <w:rsid w:val="00C44A8F"/>
    <w:rsid w:val="00C44B8E"/>
    <w:rsid w:val="00C4624B"/>
    <w:rsid w:val="00C465F0"/>
    <w:rsid w:val="00C50229"/>
    <w:rsid w:val="00C50FC7"/>
    <w:rsid w:val="00C54EA0"/>
    <w:rsid w:val="00C55FC4"/>
    <w:rsid w:val="00C56591"/>
    <w:rsid w:val="00C57865"/>
    <w:rsid w:val="00C617B3"/>
    <w:rsid w:val="00C6436F"/>
    <w:rsid w:val="00C648C2"/>
    <w:rsid w:val="00C65467"/>
    <w:rsid w:val="00C660C3"/>
    <w:rsid w:val="00C6690C"/>
    <w:rsid w:val="00C6701E"/>
    <w:rsid w:val="00C67A84"/>
    <w:rsid w:val="00C67D1C"/>
    <w:rsid w:val="00C70411"/>
    <w:rsid w:val="00C70949"/>
    <w:rsid w:val="00C70B1C"/>
    <w:rsid w:val="00C71EC2"/>
    <w:rsid w:val="00C74162"/>
    <w:rsid w:val="00C769DD"/>
    <w:rsid w:val="00C77015"/>
    <w:rsid w:val="00C80DE4"/>
    <w:rsid w:val="00C8173A"/>
    <w:rsid w:val="00C82D00"/>
    <w:rsid w:val="00C83B8C"/>
    <w:rsid w:val="00C83E1F"/>
    <w:rsid w:val="00C84830"/>
    <w:rsid w:val="00C852F9"/>
    <w:rsid w:val="00C87EB5"/>
    <w:rsid w:val="00C907C1"/>
    <w:rsid w:val="00C90A54"/>
    <w:rsid w:val="00C91172"/>
    <w:rsid w:val="00C91C9E"/>
    <w:rsid w:val="00C92A5D"/>
    <w:rsid w:val="00C939CB"/>
    <w:rsid w:val="00C9467F"/>
    <w:rsid w:val="00C96857"/>
    <w:rsid w:val="00C96CCE"/>
    <w:rsid w:val="00C974D2"/>
    <w:rsid w:val="00CA0AA0"/>
    <w:rsid w:val="00CA187F"/>
    <w:rsid w:val="00CA33AC"/>
    <w:rsid w:val="00CA4B6D"/>
    <w:rsid w:val="00CA5404"/>
    <w:rsid w:val="00CA5B4D"/>
    <w:rsid w:val="00CA7343"/>
    <w:rsid w:val="00CB2CA0"/>
    <w:rsid w:val="00CB3700"/>
    <w:rsid w:val="00CB37E9"/>
    <w:rsid w:val="00CB54DC"/>
    <w:rsid w:val="00CC07DD"/>
    <w:rsid w:val="00CC0976"/>
    <w:rsid w:val="00CC218A"/>
    <w:rsid w:val="00CC3044"/>
    <w:rsid w:val="00CC32B1"/>
    <w:rsid w:val="00CC33A5"/>
    <w:rsid w:val="00CC382F"/>
    <w:rsid w:val="00CC4270"/>
    <w:rsid w:val="00CC4C88"/>
    <w:rsid w:val="00CC6B0D"/>
    <w:rsid w:val="00CD0E7D"/>
    <w:rsid w:val="00CD2209"/>
    <w:rsid w:val="00CD2B36"/>
    <w:rsid w:val="00CD30EA"/>
    <w:rsid w:val="00CD3A8A"/>
    <w:rsid w:val="00CD3A92"/>
    <w:rsid w:val="00CD5683"/>
    <w:rsid w:val="00CD767D"/>
    <w:rsid w:val="00CE0996"/>
    <w:rsid w:val="00CE0B5B"/>
    <w:rsid w:val="00CE13C8"/>
    <w:rsid w:val="00CE1726"/>
    <w:rsid w:val="00CE2917"/>
    <w:rsid w:val="00CE39AE"/>
    <w:rsid w:val="00CE39F3"/>
    <w:rsid w:val="00CE5943"/>
    <w:rsid w:val="00CE648B"/>
    <w:rsid w:val="00CE6B03"/>
    <w:rsid w:val="00CF0486"/>
    <w:rsid w:val="00CF1321"/>
    <w:rsid w:val="00CF21AD"/>
    <w:rsid w:val="00CF5D01"/>
    <w:rsid w:val="00CF6C4C"/>
    <w:rsid w:val="00CF6E0E"/>
    <w:rsid w:val="00CF7836"/>
    <w:rsid w:val="00CF7D08"/>
    <w:rsid w:val="00CF7FB4"/>
    <w:rsid w:val="00D004B3"/>
    <w:rsid w:val="00D06548"/>
    <w:rsid w:val="00D06683"/>
    <w:rsid w:val="00D072FF"/>
    <w:rsid w:val="00D10C41"/>
    <w:rsid w:val="00D13316"/>
    <w:rsid w:val="00D14224"/>
    <w:rsid w:val="00D1460C"/>
    <w:rsid w:val="00D15495"/>
    <w:rsid w:val="00D15A76"/>
    <w:rsid w:val="00D15B4A"/>
    <w:rsid w:val="00D161DF"/>
    <w:rsid w:val="00D17417"/>
    <w:rsid w:val="00D210B5"/>
    <w:rsid w:val="00D21AF8"/>
    <w:rsid w:val="00D228F8"/>
    <w:rsid w:val="00D23690"/>
    <w:rsid w:val="00D237C9"/>
    <w:rsid w:val="00D23B12"/>
    <w:rsid w:val="00D23E16"/>
    <w:rsid w:val="00D240EB"/>
    <w:rsid w:val="00D25A47"/>
    <w:rsid w:val="00D30B9E"/>
    <w:rsid w:val="00D315AE"/>
    <w:rsid w:val="00D340D1"/>
    <w:rsid w:val="00D36595"/>
    <w:rsid w:val="00D3705D"/>
    <w:rsid w:val="00D37436"/>
    <w:rsid w:val="00D402BD"/>
    <w:rsid w:val="00D40EAB"/>
    <w:rsid w:val="00D4173D"/>
    <w:rsid w:val="00D420E0"/>
    <w:rsid w:val="00D43680"/>
    <w:rsid w:val="00D45194"/>
    <w:rsid w:val="00D46349"/>
    <w:rsid w:val="00D50028"/>
    <w:rsid w:val="00D5063F"/>
    <w:rsid w:val="00D5073A"/>
    <w:rsid w:val="00D50BC2"/>
    <w:rsid w:val="00D524CC"/>
    <w:rsid w:val="00D528F9"/>
    <w:rsid w:val="00D53456"/>
    <w:rsid w:val="00D53AB1"/>
    <w:rsid w:val="00D547EB"/>
    <w:rsid w:val="00D56DC5"/>
    <w:rsid w:val="00D6053F"/>
    <w:rsid w:val="00D61D7F"/>
    <w:rsid w:val="00D620A9"/>
    <w:rsid w:val="00D62B45"/>
    <w:rsid w:val="00D631EC"/>
    <w:rsid w:val="00D63642"/>
    <w:rsid w:val="00D64BEF"/>
    <w:rsid w:val="00D66B7F"/>
    <w:rsid w:val="00D70330"/>
    <w:rsid w:val="00D72D97"/>
    <w:rsid w:val="00D7346A"/>
    <w:rsid w:val="00D74ACE"/>
    <w:rsid w:val="00D77151"/>
    <w:rsid w:val="00D776A2"/>
    <w:rsid w:val="00D80E20"/>
    <w:rsid w:val="00D8115E"/>
    <w:rsid w:val="00D817C6"/>
    <w:rsid w:val="00D8207E"/>
    <w:rsid w:val="00D831F7"/>
    <w:rsid w:val="00D841C0"/>
    <w:rsid w:val="00D842D5"/>
    <w:rsid w:val="00D867A6"/>
    <w:rsid w:val="00D86ABB"/>
    <w:rsid w:val="00D875D3"/>
    <w:rsid w:val="00D8775D"/>
    <w:rsid w:val="00D90D20"/>
    <w:rsid w:val="00D9165D"/>
    <w:rsid w:val="00D91DC7"/>
    <w:rsid w:val="00D91FB2"/>
    <w:rsid w:val="00D92EF0"/>
    <w:rsid w:val="00D95C54"/>
    <w:rsid w:val="00D96519"/>
    <w:rsid w:val="00D9654C"/>
    <w:rsid w:val="00DA0567"/>
    <w:rsid w:val="00DA1D11"/>
    <w:rsid w:val="00DA2718"/>
    <w:rsid w:val="00DA2B05"/>
    <w:rsid w:val="00DA2D63"/>
    <w:rsid w:val="00DA35B1"/>
    <w:rsid w:val="00DA39DB"/>
    <w:rsid w:val="00DA4AE6"/>
    <w:rsid w:val="00DA4CCD"/>
    <w:rsid w:val="00DA7BD9"/>
    <w:rsid w:val="00DB067D"/>
    <w:rsid w:val="00DB1C82"/>
    <w:rsid w:val="00DB3714"/>
    <w:rsid w:val="00DB5386"/>
    <w:rsid w:val="00DB5765"/>
    <w:rsid w:val="00DB64F6"/>
    <w:rsid w:val="00DB76D7"/>
    <w:rsid w:val="00DB7814"/>
    <w:rsid w:val="00DC009E"/>
    <w:rsid w:val="00DC0127"/>
    <w:rsid w:val="00DC11AD"/>
    <w:rsid w:val="00DC3065"/>
    <w:rsid w:val="00DC51D3"/>
    <w:rsid w:val="00DC719B"/>
    <w:rsid w:val="00DC76AA"/>
    <w:rsid w:val="00DD0706"/>
    <w:rsid w:val="00DD27D5"/>
    <w:rsid w:val="00DD345D"/>
    <w:rsid w:val="00DD4CCC"/>
    <w:rsid w:val="00DD5486"/>
    <w:rsid w:val="00DD6133"/>
    <w:rsid w:val="00DE0673"/>
    <w:rsid w:val="00DE30E9"/>
    <w:rsid w:val="00DE33A1"/>
    <w:rsid w:val="00DE40FB"/>
    <w:rsid w:val="00DE4790"/>
    <w:rsid w:val="00DE4D05"/>
    <w:rsid w:val="00DE52F5"/>
    <w:rsid w:val="00DE6736"/>
    <w:rsid w:val="00DF1847"/>
    <w:rsid w:val="00DF18BC"/>
    <w:rsid w:val="00DF3D6F"/>
    <w:rsid w:val="00DF4E1F"/>
    <w:rsid w:val="00DF59E6"/>
    <w:rsid w:val="00DF7D85"/>
    <w:rsid w:val="00E01585"/>
    <w:rsid w:val="00E01605"/>
    <w:rsid w:val="00E03011"/>
    <w:rsid w:val="00E05D98"/>
    <w:rsid w:val="00E06BB0"/>
    <w:rsid w:val="00E06F5E"/>
    <w:rsid w:val="00E10EB3"/>
    <w:rsid w:val="00E111D9"/>
    <w:rsid w:val="00E11687"/>
    <w:rsid w:val="00E141D5"/>
    <w:rsid w:val="00E1573F"/>
    <w:rsid w:val="00E17535"/>
    <w:rsid w:val="00E22DCB"/>
    <w:rsid w:val="00E23493"/>
    <w:rsid w:val="00E246C3"/>
    <w:rsid w:val="00E261DF"/>
    <w:rsid w:val="00E26C29"/>
    <w:rsid w:val="00E300A8"/>
    <w:rsid w:val="00E31178"/>
    <w:rsid w:val="00E31194"/>
    <w:rsid w:val="00E314D9"/>
    <w:rsid w:val="00E32684"/>
    <w:rsid w:val="00E33B03"/>
    <w:rsid w:val="00E33E4C"/>
    <w:rsid w:val="00E34CED"/>
    <w:rsid w:val="00E37063"/>
    <w:rsid w:val="00E40085"/>
    <w:rsid w:val="00E400E0"/>
    <w:rsid w:val="00E409DC"/>
    <w:rsid w:val="00E42632"/>
    <w:rsid w:val="00E458BE"/>
    <w:rsid w:val="00E47925"/>
    <w:rsid w:val="00E5153F"/>
    <w:rsid w:val="00E51DDA"/>
    <w:rsid w:val="00E525EF"/>
    <w:rsid w:val="00E5349B"/>
    <w:rsid w:val="00E53D43"/>
    <w:rsid w:val="00E54495"/>
    <w:rsid w:val="00E54D6D"/>
    <w:rsid w:val="00E55924"/>
    <w:rsid w:val="00E55C40"/>
    <w:rsid w:val="00E5753D"/>
    <w:rsid w:val="00E606EF"/>
    <w:rsid w:val="00E60E3E"/>
    <w:rsid w:val="00E60FC7"/>
    <w:rsid w:val="00E616C5"/>
    <w:rsid w:val="00E6292E"/>
    <w:rsid w:val="00E62D04"/>
    <w:rsid w:val="00E63168"/>
    <w:rsid w:val="00E6441E"/>
    <w:rsid w:val="00E664E3"/>
    <w:rsid w:val="00E66CDD"/>
    <w:rsid w:val="00E67F92"/>
    <w:rsid w:val="00E71807"/>
    <w:rsid w:val="00E73542"/>
    <w:rsid w:val="00E73546"/>
    <w:rsid w:val="00E73758"/>
    <w:rsid w:val="00E74D9A"/>
    <w:rsid w:val="00E77737"/>
    <w:rsid w:val="00E77F03"/>
    <w:rsid w:val="00E8005D"/>
    <w:rsid w:val="00E80D70"/>
    <w:rsid w:val="00E812FE"/>
    <w:rsid w:val="00E817DF"/>
    <w:rsid w:val="00E8211B"/>
    <w:rsid w:val="00E825FB"/>
    <w:rsid w:val="00E82AD9"/>
    <w:rsid w:val="00E82E17"/>
    <w:rsid w:val="00E846ED"/>
    <w:rsid w:val="00E84A82"/>
    <w:rsid w:val="00E853A8"/>
    <w:rsid w:val="00E85720"/>
    <w:rsid w:val="00E86591"/>
    <w:rsid w:val="00E86EBE"/>
    <w:rsid w:val="00E90026"/>
    <w:rsid w:val="00E952A4"/>
    <w:rsid w:val="00E954E1"/>
    <w:rsid w:val="00E96EAA"/>
    <w:rsid w:val="00E976F6"/>
    <w:rsid w:val="00EA03D0"/>
    <w:rsid w:val="00EA1E02"/>
    <w:rsid w:val="00EA5190"/>
    <w:rsid w:val="00EA54C1"/>
    <w:rsid w:val="00EA6818"/>
    <w:rsid w:val="00EA7BC5"/>
    <w:rsid w:val="00EB0753"/>
    <w:rsid w:val="00EB1AE1"/>
    <w:rsid w:val="00EB1B1E"/>
    <w:rsid w:val="00EB1C4F"/>
    <w:rsid w:val="00EB2EE3"/>
    <w:rsid w:val="00EB3816"/>
    <w:rsid w:val="00EB42D0"/>
    <w:rsid w:val="00EB448E"/>
    <w:rsid w:val="00EB5FB7"/>
    <w:rsid w:val="00EC069E"/>
    <w:rsid w:val="00EC0793"/>
    <w:rsid w:val="00EC2633"/>
    <w:rsid w:val="00EC349D"/>
    <w:rsid w:val="00EC36CC"/>
    <w:rsid w:val="00EC3A25"/>
    <w:rsid w:val="00EC4E0A"/>
    <w:rsid w:val="00EC5AB6"/>
    <w:rsid w:val="00ED0ABC"/>
    <w:rsid w:val="00ED15E6"/>
    <w:rsid w:val="00ED49EF"/>
    <w:rsid w:val="00ED4E7D"/>
    <w:rsid w:val="00ED5017"/>
    <w:rsid w:val="00ED55F4"/>
    <w:rsid w:val="00ED5FAD"/>
    <w:rsid w:val="00ED718C"/>
    <w:rsid w:val="00EE053E"/>
    <w:rsid w:val="00EE2920"/>
    <w:rsid w:val="00EE45B5"/>
    <w:rsid w:val="00EE5A9B"/>
    <w:rsid w:val="00EE742C"/>
    <w:rsid w:val="00EF01EB"/>
    <w:rsid w:val="00EF164A"/>
    <w:rsid w:val="00EF2493"/>
    <w:rsid w:val="00EF25FF"/>
    <w:rsid w:val="00EF3EA9"/>
    <w:rsid w:val="00EF5774"/>
    <w:rsid w:val="00EF58CD"/>
    <w:rsid w:val="00EF6677"/>
    <w:rsid w:val="00EF6731"/>
    <w:rsid w:val="00EF6B32"/>
    <w:rsid w:val="00F0208D"/>
    <w:rsid w:val="00F03860"/>
    <w:rsid w:val="00F03992"/>
    <w:rsid w:val="00F03BAF"/>
    <w:rsid w:val="00F03FBE"/>
    <w:rsid w:val="00F046B9"/>
    <w:rsid w:val="00F0531A"/>
    <w:rsid w:val="00F07F50"/>
    <w:rsid w:val="00F108D0"/>
    <w:rsid w:val="00F108EA"/>
    <w:rsid w:val="00F12ED4"/>
    <w:rsid w:val="00F14887"/>
    <w:rsid w:val="00F16320"/>
    <w:rsid w:val="00F1665A"/>
    <w:rsid w:val="00F16CBF"/>
    <w:rsid w:val="00F16D9C"/>
    <w:rsid w:val="00F17C55"/>
    <w:rsid w:val="00F216B6"/>
    <w:rsid w:val="00F21DC2"/>
    <w:rsid w:val="00F22A2D"/>
    <w:rsid w:val="00F22D10"/>
    <w:rsid w:val="00F23265"/>
    <w:rsid w:val="00F23787"/>
    <w:rsid w:val="00F23986"/>
    <w:rsid w:val="00F2461C"/>
    <w:rsid w:val="00F24998"/>
    <w:rsid w:val="00F269F2"/>
    <w:rsid w:val="00F33EAB"/>
    <w:rsid w:val="00F376FD"/>
    <w:rsid w:val="00F3780E"/>
    <w:rsid w:val="00F4015C"/>
    <w:rsid w:val="00F407B6"/>
    <w:rsid w:val="00F40D12"/>
    <w:rsid w:val="00F4217B"/>
    <w:rsid w:val="00F46263"/>
    <w:rsid w:val="00F466BA"/>
    <w:rsid w:val="00F46AD9"/>
    <w:rsid w:val="00F50B8E"/>
    <w:rsid w:val="00F50CE3"/>
    <w:rsid w:val="00F51E60"/>
    <w:rsid w:val="00F534D6"/>
    <w:rsid w:val="00F53F62"/>
    <w:rsid w:val="00F54224"/>
    <w:rsid w:val="00F545F3"/>
    <w:rsid w:val="00F553BC"/>
    <w:rsid w:val="00F60F08"/>
    <w:rsid w:val="00F61C00"/>
    <w:rsid w:val="00F62928"/>
    <w:rsid w:val="00F64433"/>
    <w:rsid w:val="00F66EA9"/>
    <w:rsid w:val="00F67E66"/>
    <w:rsid w:val="00F70887"/>
    <w:rsid w:val="00F71EC6"/>
    <w:rsid w:val="00F72489"/>
    <w:rsid w:val="00F72A80"/>
    <w:rsid w:val="00F73204"/>
    <w:rsid w:val="00F73247"/>
    <w:rsid w:val="00F744D2"/>
    <w:rsid w:val="00F750A6"/>
    <w:rsid w:val="00F75F78"/>
    <w:rsid w:val="00F76F55"/>
    <w:rsid w:val="00F77B4D"/>
    <w:rsid w:val="00F77D85"/>
    <w:rsid w:val="00F77F68"/>
    <w:rsid w:val="00F8169F"/>
    <w:rsid w:val="00F81703"/>
    <w:rsid w:val="00F81BB6"/>
    <w:rsid w:val="00F82595"/>
    <w:rsid w:val="00F82DCD"/>
    <w:rsid w:val="00F8395A"/>
    <w:rsid w:val="00F83D51"/>
    <w:rsid w:val="00F84D91"/>
    <w:rsid w:val="00F86F2A"/>
    <w:rsid w:val="00F87500"/>
    <w:rsid w:val="00F879DF"/>
    <w:rsid w:val="00F9154D"/>
    <w:rsid w:val="00F91EB9"/>
    <w:rsid w:val="00F93448"/>
    <w:rsid w:val="00F94092"/>
    <w:rsid w:val="00F94A29"/>
    <w:rsid w:val="00F96BF8"/>
    <w:rsid w:val="00F97147"/>
    <w:rsid w:val="00F97FFA"/>
    <w:rsid w:val="00FA1135"/>
    <w:rsid w:val="00FA2E62"/>
    <w:rsid w:val="00FA6930"/>
    <w:rsid w:val="00FA7260"/>
    <w:rsid w:val="00FA7B30"/>
    <w:rsid w:val="00FA7CD0"/>
    <w:rsid w:val="00FB1C67"/>
    <w:rsid w:val="00FB21AF"/>
    <w:rsid w:val="00FB23F8"/>
    <w:rsid w:val="00FB2606"/>
    <w:rsid w:val="00FB492C"/>
    <w:rsid w:val="00FB4A19"/>
    <w:rsid w:val="00FB4B10"/>
    <w:rsid w:val="00FB5C24"/>
    <w:rsid w:val="00FB6436"/>
    <w:rsid w:val="00FB6800"/>
    <w:rsid w:val="00FC0475"/>
    <w:rsid w:val="00FC11B2"/>
    <w:rsid w:val="00FC2CAC"/>
    <w:rsid w:val="00FC3BCB"/>
    <w:rsid w:val="00FC4CEF"/>
    <w:rsid w:val="00FC5A0A"/>
    <w:rsid w:val="00FD281B"/>
    <w:rsid w:val="00FD3E91"/>
    <w:rsid w:val="00FD4B07"/>
    <w:rsid w:val="00FD5F32"/>
    <w:rsid w:val="00FD67A6"/>
    <w:rsid w:val="00FD6870"/>
    <w:rsid w:val="00FE0EEA"/>
    <w:rsid w:val="00FE2957"/>
    <w:rsid w:val="00FE3D21"/>
    <w:rsid w:val="00FE5656"/>
    <w:rsid w:val="00FE5796"/>
    <w:rsid w:val="00FE75F9"/>
    <w:rsid w:val="00FF0E10"/>
    <w:rsid w:val="00FF104F"/>
    <w:rsid w:val="00FF17E3"/>
    <w:rsid w:val="00FF1809"/>
    <w:rsid w:val="00FF288D"/>
    <w:rsid w:val="00FF30C2"/>
    <w:rsid w:val="00FF3164"/>
    <w:rsid w:val="00FF35F1"/>
    <w:rsid w:val="00FF3A4C"/>
    <w:rsid w:val="00FF3D80"/>
    <w:rsid w:val="00FF58F4"/>
    <w:rsid w:val="00FF5D3E"/>
    <w:rsid w:val="00FF71F4"/>
  </w:rsids>
  <m:mathPr>
    <m:mathFont m:val="Cambria Math"/>
    <m:brkBin m:val="before"/>
    <m:brkBinSub m:val="--"/>
    <m:smallFrac m:val="0"/>
    <m:dispDef/>
    <m:lMargin m:val="0"/>
    <m:rMargin m:val="0"/>
    <m:defJc m:val="centerGroup"/>
    <m:wrapIndent m:val="1440"/>
    <m:intLim m:val="subSup"/>
    <m:naryLim m:val="undOvr"/>
  </m:mathPr>
  <w:themeFontLang w:val="es-P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0CC0"/>
  <w15:chartTrackingRefBased/>
  <w15:docId w15:val="{FBE01AB0-5C6C-4993-B76B-6032117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42D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EB42D0"/>
  </w:style>
  <w:style w:type="character" w:styleId="Hipervnculo">
    <w:name w:val="Hyperlink"/>
    <w:basedOn w:val="Fuentedeprrafopredeter"/>
    <w:uiPriority w:val="99"/>
    <w:unhideWhenUsed/>
    <w:rsid w:val="00EB42D0"/>
    <w:rPr>
      <w:color w:val="0000FF"/>
      <w:u w:val="single"/>
    </w:rPr>
  </w:style>
  <w:style w:type="character" w:customStyle="1" w:styleId="caps">
    <w:name w:val="caps"/>
    <w:basedOn w:val="Fuentedeprrafopredeter"/>
    <w:rsid w:val="00EB42D0"/>
  </w:style>
  <w:style w:type="character" w:styleId="Textoennegrita">
    <w:name w:val="Strong"/>
    <w:basedOn w:val="Fuentedeprrafopredeter"/>
    <w:uiPriority w:val="22"/>
    <w:qFormat/>
    <w:rsid w:val="00EB42D0"/>
    <w:rPr>
      <w:b/>
      <w:bCs/>
    </w:rPr>
  </w:style>
  <w:style w:type="character" w:customStyle="1" w:styleId="a">
    <w:name w:val="a"/>
    <w:basedOn w:val="Fuentedeprrafopredeter"/>
    <w:rsid w:val="0083424E"/>
  </w:style>
  <w:style w:type="paragraph" w:customStyle="1" w:styleId="Default">
    <w:name w:val="Default"/>
    <w:rsid w:val="002D3562"/>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l">
    <w:name w:val="l"/>
    <w:basedOn w:val="Fuentedeprrafopredeter"/>
    <w:rsid w:val="00357740"/>
  </w:style>
  <w:style w:type="character" w:customStyle="1" w:styleId="l6">
    <w:name w:val="l6"/>
    <w:basedOn w:val="Fuentedeprrafopredeter"/>
    <w:rsid w:val="00201B03"/>
  </w:style>
  <w:style w:type="paragraph" w:customStyle="1" w:styleId="textocontenidos">
    <w:name w:val="texto_contenidos"/>
    <w:basedOn w:val="Normal"/>
    <w:rsid w:val="00263B4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605CA2"/>
    <w:pPr>
      <w:ind w:left="720"/>
      <w:contextualSpacing/>
    </w:pPr>
  </w:style>
  <w:style w:type="paragraph" w:styleId="HTMLconformatoprevio">
    <w:name w:val="HTML Preformatted"/>
    <w:basedOn w:val="Normal"/>
    <w:link w:val="HTMLconformatoprevioCar"/>
    <w:uiPriority w:val="99"/>
    <w:unhideWhenUsed/>
    <w:rsid w:val="0078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786F75"/>
    <w:rPr>
      <w:rFonts w:ascii="Courier New" w:eastAsia="Times New Roman" w:hAnsi="Courier New" w:cs="Courier New"/>
      <w:sz w:val="20"/>
      <w:szCs w:val="20"/>
      <w:lang w:eastAsia="es-PE"/>
    </w:rPr>
  </w:style>
  <w:style w:type="paragraph" w:styleId="Encabezado">
    <w:name w:val="header"/>
    <w:basedOn w:val="Normal"/>
    <w:link w:val="EncabezadoCar"/>
    <w:uiPriority w:val="99"/>
    <w:unhideWhenUsed/>
    <w:rsid w:val="00A91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1AFB"/>
  </w:style>
  <w:style w:type="paragraph" w:styleId="Piedepgina">
    <w:name w:val="footer"/>
    <w:basedOn w:val="Normal"/>
    <w:link w:val="PiedepginaCar"/>
    <w:uiPriority w:val="99"/>
    <w:unhideWhenUsed/>
    <w:rsid w:val="00A91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5776">
      <w:bodyDiv w:val="1"/>
      <w:marLeft w:val="0"/>
      <w:marRight w:val="0"/>
      <w:marTop w:val="0"/>
      <w:marBottom w:val="0"/>
      <w:divBdr>
        <w:top w:val="none" w:sz="0" w:space="0" w:color="auto"/>
        <w:left w:val="none" w:sz="0" w:space="0" w:color="auto"/>
        <w:bottom w:val="none" w:sz="0" w:space="0" w:color="auto"/>
        <w:right w:val="none" w:sz="0" w:space="0" w:color="auto"/>
      </w:divBdr>
    </w:div>
    <w:div w:id="445320585">
      <w:bodyDiv w:val="1"/>
      <w:marLeft w:val="0"/>
      <w:marRight w:val="0"/>
      <w:marTop w:val="0"/>
      <w:marBottom w:val="0"/>
      <w:divBdr>
        <w:top w:val="none" w:sz="0" w:space="0" w:color="auto"/>
        <w:left w:val="none" w:sz="0" w:space="0" w:color="auto"/>
        <w:bottom w:val="none" w:sz="0" w:space="0" w:color="auto"/>
        <w:right w:val="none" w:sz="0" w:space="0" w:color="auto"/>
      </w:divBdr>
      <w:divsChild>
        <w:div w:id="1907960196">
          <w:marLeft w:val="0"/>
          <w:marRight w:val="0"/>
          <w:marTop w:val="0"/>
          <w:marBottom w:val="0"/>
          <w:divBdr>
            <w:top w:val="none" w:sz="0" w:space="0" w:color="auto"/>
            <w:left w:val="none" w:sz="0" w:space="0" w:color="auto"/>
            <w:bottom w:val="none" w:sz="0" w:space="0" w:color="auto"/>
            <w:right w:val="none" w:sz="0" w:space="0" w:color="auto"/>
          </w:divBdr>
        </w:div>
        <w:div w:id="1195458038">
          <w:marLeft w:val="0"/>
          <w:marRight w:val="0"/>
          <w:marTop w:val="0"/>
          <w:marBottom w:val="0"/>
          <w:divBdr>
            <w:top w:val="none" w:sz="0" w:space="0" w:color="auto"/>
            <w:left w:val="none" w:sz="0" w:space="0" w:color="auto"/>
            <w:bottom w:val="none" w:sz="0" w:space="0" w:color="auto"/>
            <w:right w:val="none" w:sz="0" w:space="0" w:color="auto"/>
          </w:divBdr>
        </w:div>
      </w:divsChild>
    </w:div>
    <w:div w:id="451900103">
      <w:bodyDiv w:val="1"/>
      <w:marLeft w:val="0"/>
      <w:marRight w:val="0"/>
      <w:marTop w:val="0"/>
      <w:marBottom w:val="0"/>
      <w:divBdr>
        <w:top w:val="none" w:sz="0" w:space="0" w:color="auto"/>
        <w:left w:val="none" w:sz="0" w:space="0" w:color="auto"/>
        <w:bottom w:val="none" w:sz="0" w:space="0" w:color="auto"/>
        <w:right w:val="none" w:sz="0" w:space="0" w:color="auto"/>
      </w:divBdr>
    </w:div>
    <w:div w:id="828909874">
      <w:bodyDiv w:val="1"/>
      <w:marLeft w:val="0"/>
      <w:marRight w:val="0"/>
      <w:marTop w:val="0"/>
      <w:marBottom w:val="0"/>
      <w:divBdr>
        <w:top w:val="none" w:sz="0" w:space="0" w:color="auto"/>
        <w:left w:val="none" w:sz="0" w:space="0" w:color="auto"/>
        <w:bottom w:val="none" w:sz="0" w:space="0" w:color="auto"/>
        <w:right w:val="none" w:sz="0" w:space="0" w:color="auto"/>
      </w:divBdr>
      <w:divsChild>
        <w:div w:id="684479770">
          <w:marLeft w:val="0"/>
          <w:marRight w:val="0"/>
          <w:marTop w:val="0"/>
          <w:marBottom w:val="0"/>
          <w:divBdr>
            <w:top w:val="none" w:sz="0" w:space="0" w:color="auto"/>
            <w:left w:val="none" w:sz="0" w:space="0" w:color="auto"/>
            <w:bottom w:val="none" w:sz="0" w:space="0" w:color="auto"/>
            <w:right w:val="none" w:sz="0" w:space="0" w:color="auto"/>
          </w:divBdr>
        </w:div>
        <w:div w:id="1734499422">
          <w:marLeft w:val="0"/>
          <w:marRight w:val="0"/>
          <w:marTop w:val="0"/>
          <w:marBottom w:val="0"/>
          <w:divBdr>
            <w:top w:val="none" w:sz="0" w:space="0" w:color="auto"/>
            <w:left w:val="none" w:sz="0" w:space="0" w:color="auto"/>
            <w:bottom w:val="none" w:sz="0" w:space="0" w:color="auto"/>
            <w:right w:val="none" w:sz="0" w:space="0" w:color="auto"/>
          </w:divBdr>
        </w:div>
        <w:div w:id="519515592">
          <w:marLeft w:val="0"/>
          <w:marRight w:val="0"/>
          <w:marTop w:val="0"/>
          <w:marBottom w:val="0"/>
          <w:divBdr>
            <w:top w:val="none" w:sz="0" w:space="0" w:color="auto"/>
            <w:left w:val="none" w:sz="0" w:space="0" w:color="auto"/>
            <w:bottom w:val="none" w:sz="0" w:space="0" w:color="auto"/>
            <w:right w:val="none" w:sz="0" w:space="0" w:color="auto"/>
          </w:divBdr>
        </w:div>
        <w:div w:id="1578200530">
          <w:marLeft w:val="0"/>
          <w:marRight w:val="0"/>
          <w:marTop w:val="0"/>
          <w:marBottom w:val="0"/>
          <w:divBdr>
            <w:top w:val="none" w:sz="0" w:space="0" w:color="auto"/>
            <w:left w:val="none" w:sz="0" w:space="0" w:color="auto"/>
            <w:bottom w:val="none" w:sz="0" w:space="0" w:color="auto"/>
            <w:right w:val="none" w:sz="0" w:space="0" w:color="auto"/>
          </w:divBdr>
        </w:div>
        <w:div w:id="696850308">
          <w:marLeft w:val="0"/>
          <w:marRight w:val="0"/>
          <w:marTop w:val="0"/>
          <w:marBottom w:val="0"/>
          <w:divBdr>
            <w:top w:val="none" w:sz="0" w:space="0" w:color="auto"/>
            <w:left w:val="none" w:sz="0" w:space="0" w:color="auto"/>
            <w:bottom w:val="none" w:sz="0" w:space="0" w:color="auto"/>
            <w:right w:val="none" w:sz="0" w:space="0" w:color="auto"/>
          </w:divBdr>
        </w:div>
      </w:divsChild>
    </w:div>
    <w:div w:id="841353649">
      <w:bodyDiv w:val="1"/>
      <w:marLeft w:val="0"/>
      <w:marRight w:val="0"/>
      <w:marTop w:val="0"/>
      <w:marBottom w:val="0"/>
      <w:divBdr>
        <w:top w:val="none" w:sz="0" w:space="0" w:color="auto"/>
        <w:left w:val="none" w:sz="0" w:space="0" w:color="auto"/>
        <w:bottom w:val="none" w:sz="0" w:space="0" w:color="auto"/>
        <w:right w:val="none" w:sz="0" w:space="0" w:color="auto"/>
      </w:divBdr>
      <w:divsChild>
        <w:div w:id="679504905">
          <w:marLeft w:val="0"/>
          <w:marRight w:val="0"/>
          <w:marTop w:val="0"/>
          <w:marBottom w:val="0"/>
          <w:divBdr>
            <w:top w:val="none" w:sz="0" w:space="0" w:color="auto"/>
            <w:left w:val="none" w:sz="0" w:space="0" w:color="auto"/>
            <w:bottom w:val="none" w:sz="0" w:space="0" w:color="auto"/>
            <w:right w:val="none" w:sz="0" w:space="0" w:color="auto"/>
          </w:divBdr>
          <w:divsChild>
            <w:div w:id="1412704130">
              <w:marLeft w:val="0"/>
              <w:marRight w:val="0"/>
              <w:marTop w:val="0"/>
              <w:marBottom w:val="0"/>
              <w:divBdr>
                <w:top w:val="none" w:sz="0" w:space="0" w:color="auto"/>
                <w:left w:val="none" w:sz="0" w:space="0" w:color="auto"/>
                <w:bottom w:val="none" w:sz="0" w:space="0" w:color="auto"/>
                <w:right w:val="none" w:sz="0" w:space="0" w:color="auto"/>
              </w:divBdr>
            </w:div>
          </w:divsChild>
        </w:div>
        <w:div w:id="1704860108">
          <w:marLeft w:val="0"/>
          <w:marRight w:val="0"/>
          <w:marTop w:val="0"/>
          <w:marBottom w:val="0"/>
          <w:divBdr>
            <w:top w:val="none" w:sz="0" w:space="0" w:color="auto"/>
            <w:left w:val="none" w:sz="0" w:space="0" w:color="auto"/>
            <w:bottom w:val="none" w:sz="0" w:space="0" w:color="auto"/>
            <w:right w:val="none" w:sz="0" w:space="0" w:color="auto"/>
          </w:divBdr>
          <w:divsChild>
            <w:div w:id="15268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413">
      <w:bodyDiv w:val="1"/>
      <w:marLeft w:val="0"/>
      <w:marRight w:val="0"/>
      <w:marTop w:val="0"/>
      <w:marBottom w:val="0"/>
      <w:divBdr>
        <w:top w:val="none" w:sz="0" w:space="0" w:color="auto"/>
        <w:left w:val="none" w:sz="0" w:space="0" w:color="auto"/>
        <w:bottom w:val="none" w:sz="0" w:space="0" w:color="auto"/>
        <w:right w:val="none" w:sz="0" w:space="0" w:color="auto"/>
      </w:divBdr>
      <w:divsChild>
        <w:div w:id="454445521">
          <w:marLeft w:val="0"/>
          <w:marRight w:val="0"/>
          <w:marTop w:val="0"/>
          <w:marBottom w:val="0"/>
          <w:divBdr>
            <w:top w:val="none" w:sz="0" w:space="0" w:color="auto"/>
            <w:left w:val="none" w:sz="0" w:space="0" w:color="auto"/>
            <w:bottom w:val="none" w:sz="0" w:space="0" w:color="auto"/>
            <w:right w:val="none" w:sz="0" w:space="0" w:color="auto"/>
          </w:divBdr>
        </w:div>
        <w:div w:id="2006277842">
          <w:marLeft w:val="0"/>
          <w:marRight w:val="0"/>
          <w:marTop w:val="0"/>
          <w:marBottom w:val="0"/>
          <w:divBdr>
            <w:top w:val="none" w:sz="0" w:space="0" w:color="auto"/>
            <w:left w:val="none" w:sz="0" w:space="0" w:color="auto"/>
            <w:bottom w:val="none" w:sz="0" w:space="0" w:color="auto"/>
            <w:right w:val="none" w:sz="0" w:space="0" w:color="auto"/>
          </w:divBdr>
        </w:div>
      </w:divsChild>
    </w:div>
    <w:div w:id="188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86140558">
          <w:marLeft w:val="0"/>
          <w:marRight w:val="0"/>
          <w:marTop w:val="0"/>
          <w:marBottom w:val="0"/>
          <w:divBdr>
            <w:top w:val="none" w:sz="0" w:space="0" w:color="auto"/>
            <w:left w:val="none" w:sz="0" w:space="0" w:color="auto"/>
            <w:bottom w:val="none" w:sz="0" w:space="0" w:color="auto"/>
            <w:right w:val="none" w:sz="0" w:space="0" w:color="auto"/>
          </w:divBdr>
        </w:div>
        <w:div w:id="2010907876">
          <w:marLeft w:val="0"/>
          <w:marRight w:val="0"/>
          <w:marTop w:val="0"/>
          <w:marBottom w:val="0"/>
          <w:divBdr>
            <w:top w:val="none" w:sz="0" w:space="0" w:color="auto"/>
            <w:left w:val="none" w:sz="0" w:space="0" w:color="auto"/>
            <w:bottom w:val="none" w:sz="0" w:space="0" w:color="auto"/>
            <w:right w:val="none" w:sz="0" w:space="0" w:color="auto"/>
          </w:divBdr>
        </w:div>
        <w:div w:id="98744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inversion.gob.pe/modulos/LAN/landing.aspx?are=0&amp;pfl=1&amp;lan=10&amp;tit=proinversi%C3%B3n-institucional" TargetMode="External"/><Relationship Id="rId12" Type="http://schemas.openxmlformats.org/officeDocument/2006/relationships/hyperlink" Target="http://gestion.pe/economia/que-cajamarca-sigue-siendo-region-mas-pobre-pais-2159276" TargetMode="External"/><Relationship Id="rId13" Type="http://schemas.openxmlformats.org/officeDocument/2006/relationships/hyperlink" Target="http://gestion.pe/economia/que-cajamarca-sigue-siendo-region-mas-pobre-pais-2159276"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ef.gob.pe/es/acerca-de-las-asociaciones-publico-privadas-apps?id=4218" TargetMode="External"/><Relationship Id="rId8" Type="http://schemas.openxmlformats.org/officeDocument/2006/relationships/hyperlink" Target="http://gestion.pe/economia/que-cajamarca-sigue-siendo-region-mas-pobre-pais-2159276" TargetMode="External"/><Relationship Id="rId9" Type="http://schemas.openxmlformats.org/officeDocument/2006/relationships/hyperlink" Target="http://ipe.org.pe/biblioteca-virtual" TargetMode="External"/><Relationship Id="rId10" Type="http://schemas.openxmlformats.org/officeDocument/2006/relationships/hyperlink" Target="https://www.mef.gob.pe/es/inversion-privada-sp-218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7098</Words>
  <Characters>39040</Characters>
  <Application>Microsoft Macintosh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César Casas Casas</dc:creator>
  <cp:keywords/>
  <dc:description/>
  <cp:lastModifiedBy>Usuario de Microsoft Office</cp:lastModifiedBy>
  <cp:revision>2</cp:revision>
  <dcterms:created xsi:type="dcterms:W3CDTF">2017-06-02T00:02:00Z</dcterms:created>
  <dcterms:modified xsi:type="dcterms:W3CDTF">2017-06-02T00:02:00Z</dcterms:modified>
</cp:coreProperties>
</file>